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#147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0" w:name="_GoBack"/>
      <w:bookmarkEnd w:id="0"/>
      <w:r>
        <w:rPr>
          <w:rFonts w:hint="eastAsia"/>
          <w:b/>
          <w:i/>
          <w:sz w:val="28"/>
        </w:rPr>
        <w:t>S5-232430</w:t>
      </w:r>
    </w:p>
    <w:p>
      <w:pPr>
        <w:pStyle w:val="61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>
      <w:pPr>
        <w:pStyle w:val="61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xx-yyxxxx)</w:t>
      </w:r>
    </w:p>
    <w:p>
      <w:pPr>
        <w:pStyle w:val="61"/>
        <w:tabs>
          <w:tab w:val="right" w:pos="9638"/>
        </w:tabs>
        <w:rPr>
          <w:sz w:val="20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Charging Aspects for Enhanced Support of Non-Public Networks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</w:rPr>
        <w:t>7.</w:t>
      </w:r>
      <w:r>
        <w:rPr>
          <w:rFonts w:hint="default" w:ascii="Arial" w:hAnsi="Arial"/>
          <w:b/>
          <w:lang w:val="en-US"/>
        </w:rPr>
        <w:t>2</w:t>
      </w:r>
    </w:p>
    <w:p>
      <w:pPr>
        <w:rPr>
          <w:rFonts w:eastAsia="Batang"/>
          <w:lang w:val="en-US" w:eastAsia="zh-CN"/>
        </w:rPr>
      </w:pPr>
    </w:p>
    <w:p>
      <w:pPr>
        <w:pStyle w:val="11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1"/>
      </w:pPr>
      <w:r>
        <w:t>Title:</w:t>
      </w:r>
      <w:r>
        <w:rPr>
          <w:rFonts w:hint="default"/>
          <w:lang w:val="en-US"/>
        </w:rPr>
        <w:t xml:space="preserve"> Charging Aspects for Enhanced Support of Non-Public Networks</w:t>
      </w:r>
      <w:r>
        <w:tab/>
      </w:r>
    </w:p>
    <w:p>
      <w:pPr>
        <w:pStyle w:val="126"/>
      </w:pPr>
    </w:p>
    <w:p>
      <w:pPr>
        <w:pStyle w:val="11"/>
      </w:pPr>
      <w:r>
        <w:t>Acronym:</w:t>
      </w:r>
      <w:r>
        <w:rPr>
          <w:rFonts w:hint="default"/>
          <w:lang w:val="en-US"/>
        </w:rPr>
        <w:t xml:space="preserve"> eNPN_CH</w:t>
      </w:r>
      <w:r>
        <w:tab/>
      </w:r>
    </w:p>
    <w:p>
      <w:pPr>
        <w:pStyle w:val="126"/>
      </w:pPr>
    </w:p>
    <w:p>
      <w:pPr>
        <w:pStyle w:val="11"/>
      </w:pPr>
      <w:r>
        <w:t>Unique identifier:</w:t>
      </w:r>
      <w:r>
        <w:tab/>
      </w:r>
    </w:p>
    <w:p>
      <w:pPr>
        <w:pStyle w:val="126"/>
      </w:pPr>
    </w:p>
    <w:p>
      <w:pPr>
        <w:pStyle w:val="11"/>
      </w:pPr>
      <w:r>
        <w:t>Potential target Release:</w:t>
      </w:r>
      <w:r>
        <w:tab/>
      </w:r>
      <w:r>
        <w:rPr>
          <w:i/>
          <w:iCs/>
        </w:rPr>
        <w:t>Rel-</w:t>
      </w:r>
      <w:r>
        <w:rPr>
          <w:rFonts w:hint="default"/>
          <w:i/>
          <w:iCs/>
          <w:lang w:val="en-US"/>
        </w:rPr>
        <w:t>18</w:t>
      </w:r>
    </w:p>
    <w:p>
      <w:pPr>
        <w:pStyle w:val="126"/>
      </w:pPr>
    </w:p>
    <w:p>
      <w:pPr>
        <w:pStyle w:val="3"/>
      </w:pPr>
      <w:r>
        <w:t>1</w:t>
      </w:r>
      <w:r>
        <w:tab/>
      </w:r>
      <w:r>
        <w:t>Impacts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93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93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3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3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3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93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93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>
            <w:pPr>
              <w:pStyle w:val="94"/>
            </w:pPr>
          </w:p>
        </w:tc>
        <w:tc>
          <w:tcPr>
            <w:tcW w:w="1037" w:type="dxa"/>
            <w:tcBorders>
              <w:top w:val="nil"/>
            </w:tcBorders>
            <w:vAlign w:val="top"/>
          </w:tcPr>
          <w:p>
            <w:pPr>
              <w:pStyle w:val="94"/>
            </w:pPr>
          </w:p>
        </w:tc>
        <w:tc>
          <w:tcPr>
            <w:tcW w:w="850" w:type="dxa"/>
            <w:tcBorders>
              <w:top w:val="nil"/>
            </w:tcBorders>
            <w:vAlign w:val="top"/>
          </w:tcPr>
          <w:p>
            <w:pPr>
              <w:pStyle w:val="94"/>
            </w:pPr>
          </w:p>
        </w:tc>
        <w:tc>
          <w:tcPr>
            <w:tcW w:w="851" w:type="dxa"/>
            <w:tcBorders>
              <w:top w:val="nil"/>
            </w:tcBorders>
            <w:vAlign w:val="top"/>
          </w:tcPr>
          <w:p>
            <w:pPr>
              <w:pStyle w:val="94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  <w:vAlign w:val="top"/>
          </w:tcPr>
          <w:p>
            <w:pPr>
              <w:pStyle w:val="94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93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94"/>
            </w:pPr>
            <w:r>
              <w:t>X</w:t>
            </w:r>
          </w:p>
        </w:tc>
        <w:tc>
          <w:tcPr>
            <w:tcW w:w="1037" w:type="dxa"/>
            <w:vAlign w:val="top"/>
          </w:tcPr>
          <w:p>
            <w:pPr>
              <w:pStyle w:val="94"/>
            </w:pPr>
            <w:r>
              <w:t>X</w:t>
            </w:r>
          </w:p>
        </w:tc>
        <w:tc>
          <w:tcPr>
            <w:tcW w:w="850" w:type="dxa"/>
            <w:vAlign w:val="top"/>
          </w:tcPr>
          <w:p>
            <w:pPr>
              <w:pStyle w:val="94"/>
            </w:pPr>
            <w:r>
              <w:t>X</w:t>
            </w:r>
          </w:p>
        </w:tc>
        <w:tc>
          <w:tcPr>
            <w:tcW w:w="851" w:type="dxa"/>
            <w:vAlign w:val="top"/>
          </w:tcPr>
          <w:p>
            <w:pPr>
              <w:pStyle w:val="94"/>
            </w:pPr>
          </w:p>
        </w:tc>
        <w:tc>
          <w:tcPr>
            <w:tcW w:w="1752" w:type="dxa"/>
            <w:vAlign w:val="top"/>
          </w:tcPr>
          <w:p>
            <w:pPr>
              <w:pStyle w:val="94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93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94"/>
            </w:pPr>
          </w:p>
        </w:tc>
        <w:tc>
          <w:tcPr>
            <w:tcW w:w="1037" w:type="dxa"/>
            <w:vAlign w:val="top"/>
          </w:tcPr>
          <w:p>
            <w:pPr>
              <w:pStyle w:val="94"/>
            </w:pPr>
          </w:p>
        </w:tc>
        <w:tc>
          <w:tcPr>
            <w:tcW w:w="850" w:type="dxa"/>
            <w:vAlign w:val="top"/>
          </w:tcPr>
          <w:p>
            <w:pPr>
              <w:pStyle w:val="94"/>
            </w:pPr>
          </w:p>
        </w:tc>
        <w:tc>
          <w:tcPr>
            <w:tcW w:w="851" w:type="dxa"/>
            <w:vAlign w:val="top"/>
          </w:tcPr>
          <w:p>
            <w:pPr>
              <w:pStyle w:val="94"/>
            </w:pPr>
          </w:p>
        </w:tc>
        <w:tc>
          <w:tcPr>
            <w:tcW w:w="1752" w:type="dxa"/>
            <w:vAlign w:val="top"/>
          </w:tcPr>
          <w:p>
            <w:pPr>
              <w:pStyle w:val="94"/>
            </w:pPr>
            <w:r>
              <w:t>X</w:t>
            </w:r>
          </w:p>
        </w:tc>
      </w:tr>
    </w:tbl>
    <w:p/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5"/>
      </w:pPr>
      <w:r>
        <w:t>This work item is a …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4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93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4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93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4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93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94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93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93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93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93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93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93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91"/>
            </w:pPr>
            <w:r>
              <w:rPr>
                <w:rFonts w:hint="eastAsia"/>
              </w:rPr>
              <w:t>FS_eNPN_CH</w:t>
            </w:r>
          </w:p>
        </w:tc>
        <w:tc>
          <w:tcPr>
            <w:tcW w:w="1101" w:type="dxa"/>
          </w:tcPr>
          <w:p>
            <w:pPr>
              <w:pStyle w:val="91"/>
            </w:pPr>
            <w:r>
              <w:t>SA5</w:t>
            </w:r>
          </w:p>
        </w:tc>
        <w:tc>
          <w:tcPr>
            <w:tcW w:w="1101" w:type="dxa"/>
          </w:tcPr>
          <w:p>
            <w:pPr>
              <w:pStyle w:val="91"/>
            </w:pPr>
            <w:r>
              <w:rPr>
                <w:rFonts w:hint="eastAsia"/>
              </w:rPr>
              <w:t>940043</w:t>
            </w:r>
          </w:p>
        </w:tc>
        <w:tc>
          <w:tcPr>
            <w:tcW w:w="6010" w:type="dxa"/>
          </w:tcPr>
          <w:p>
            <w:pPr>
              <w:pStyle w:val="91"/>
            </w:pPr>
            <w:r>
              <w:rPr>
                <w:rFonts w:hint="eastAsia"/>
              </w:rPr>
              <w:t>Study on Charging Aspects for Enhanced Support of Non-Public Networks</w:t>
            </w:r>
          </w:p>
        </w:tc>
      </w:tr>
    </w:tbl>
    <w:p/>
    <w:p>
      <w:pPr>
        <w:pStyle w:val="5"/>
      </w:pPr>
      <w:r>
        <w:t>2.3</w:t>
      </w:r>
      <w:r>
        <w:tab/>
      </w:r>
      <w:r>
        <w:t>Other related Work Items and dependencies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93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93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93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93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91"/>
            </w:pPr>
            <w:r>
              <w:t>800007</w:t>
            </w:r>
          </w:p>
        </w:tc>
        <w:tc>
          <w:tcPr>
            <w:tcW w:w="3326" w:type="dxa"/>
            <w:vAlign w:val="top"/>
          </w:tcPr>
          <w:p>
            <w:pPr>
              <w:pStyle w:val="91"/>
            </w:pPr>
            <w:r>
              <w:t>Service requirements for cyber-physical control applications in vertical domains</w:t>
            </w:r>
          </w:p>
        </w:tc>
        <w:tc>
          <w:tcPr>
            <w:tcW w:w="5099" w:type="dxa"/>
            <w:vAlign w:val="top"/>
          </w:tcPr>
          <w:p>
            <w:pPr>
              <w:pStyle w:val="164"/>
            </w:pPr>
            <w:r>
              <w:rPr>
                <w:sz w:val="20"/>
              </w:rPr>
              <w:t>SA1 work item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91"/>
            </w:pPr>
            <w:r>
              <w:t>820017</w:t>
            </w:r>
          </w:p>
        </w:tc>
        <w:tc>
          <w:tcPr>
            <w:tcW w:w="3326" w:type="dxa"/>
            <w:vAlign w:val="top"/>
          </w:tcPr>
          <w:p>
            <w:pPr>
              <w:pStyle w:val="91"/>
            </w:pPr>
            <w:r>
              <w:t>5GS Enhanced support of Vertical and LAN Services</w:t>
            </w:r>
          </w:p>
        </w:tc>
        <w:tc>
          <w:tcPr>
            <w:tcW w:w="5099" w:type="dxa"/>
            <w:vAlign w:val="top"/>
          </w:tcPr>
          <w:p>
            <w:pPr>
              <w:pStyle w:val="164"/>
            </w:pPr>
            <w:r>
              <w:rPr>
                <w:sz w:val="20"/>
              </w:rPr>
              <w:t>SA2 stage 2 work item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91"/>
            </w:pPr>
            <w:r>
              <w:t>900015</w:t>
            </w:r>
          </w:p>
        </w:tc>
        <w:tc>
          <w:tcPr>
            <w:tcW w:w="3326" w:type="dxa"/>
            <w:vAlign w:val="top"/>
          </w:tcPr>
          <w:p>
            <w:pPr>
              <w:pStyle w:val="91"/>
            </w:pPr>
            <w:r>
              <w:t>Enhanced support of Non-Public Networks</w:t>
            </w:r>
          </w:p>
        </w:tc>
        <w:tc>
          <w:tcPr>
            <w:tcW w:w="5099" w:type="dxa"/>
            <w:vAlign w:val="top"/>
          </w:tcPr>
          <w:p>
            <w:pPr>
              <w:pStyle w:val="164"/>
            </w:pPr>
            <w:r>
              <w:rPr>
                <w:sz w:val="20"/>
              </w:rPr>
              <w:t>SA2 stage 2 work item</w:t>
            </w:r>
          </w:p>
        </w:tc>
      </w:tr>
    </w:tbl>
    <w:p>
      <w:pPr>
        <w:pStyle w:val="103"/>
      </w:pPr>
    </w:p>
    <w:p>
      <w:r>
        <w:rPr>
          <w:b/>
          <w:bCs/>
        </w:rPr>
        <w:t>Dependency on non-3GPP (draft) specification:</w:t>
      </w:r>
    </w:p>
    <w:p>
      <w:pPr>
        <w:pStyle w:val="3"/>
      </w:pPr>
      <w:r>
        <w:t>3</w:t>
      </w:r>
      <w:r>
        <w:tab/>
      </w:r>
      <w:r>
        <w:t>Justification</w:t>
      </w:r>
    </w:p>
    <w:p>
      <w:r>
        <w:t>A Non-Public Network</w:t>
      </w:r>
      <w:r>
        <w:rPr>
          <w:rFonts w:hint="default"/>
          <w:lang w:val="en-US"/>
        </w:rPr>
        <w:t xml:space="preserve"> </w:t>
      </w:r>
      <w:r>
        <w:t>is a 5GS deployed for non-public use.</w:t>
      </w:r>
      <w:r>
        <w:rPr>
          <w:rFonts w:hint="default"/>
          <w:lang w:val="en-US"/>
        </w:rPr>
        <w:t xml:space="preserve"> </w:t>
      </w:r>
      <w:r>
        <w:t>Non-Public Network</w:t>
      </w:r>
      <w:r>
        <w:rPr>
          <w:rFonts w:hint="default"/>
          <w:lang w:val="en-US"/>
        </w:rPr>
        <w:t xml:space="preserve"> </w:t>
      </w:r>
      <w:r>
        <w:t>has been supported in 3GPP, in terms of:</w:t>
      </w:r>
    </w:p>
    <w:p>
      <w:pPr>
        <w:ind w:left="630" w:hanging="270"/>
      </w:pPr>
      <w:r>
        <w:t>-</w:t>
      </w:r>
      <w:r>
        <w:tab/>
      </w:r>
      <w:r>
        <w:t>Non-Public Network</w:t>
      </w:r>
      <w:r>
        <w:rPr>
          <w:rFonts w:eastAsia="等线"/>
        </w:rPr>
        <w:t xml:space="preserve"> service requirements</w:t>
      </w:r>
      <w:r>
        <w:t xml:space="preserve"> as specified in </w:t>
      </w:r>
      <w:r>
        <w:rPr>
          <w:rFonts w:eastAsia="等线"/>
        </w:rPr>
        <w:t>TS 22.261</w:t>
      </w:r>
      <w:r>
        <w:t>;</w:t>
      </w:r>
    </w:p>
    <w:p>
      <w:pPr>
        <w:ind w:left="630" w:hanging="270"/>
        <w:rPr>
          <w:rFonts w:hint="default"/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default"/>
          <w:lang w:val="en-US" w:eastAsia="zh-CN"/>
        </w:rPr>
        <w:t>S</w:t>
      </w:r>
      <w:r>
        <w:t>ystem architecture</w:t>
      </w:r>
      <w:r>
        <w:rPr>
          <w:rFonts w:hint="default"/>
          <w:lang w:val="en-US"/>
        </w:rPr>
        <w:t xml:space="preserve"> and p</w:t>
      </w:r>
      <w:r>
        <w:t>rocedures</w:t>
      </w:r>
      <w:r>
        <w:rPr>
          <w:rFonts w:hint="default"/>
          <w:lang w:val="en-US"/>
        </w:rPr>
        <w:t xml:space="preserve"> for the 5G System supporting </w:t>
      </w:r>
      <w:r>
        <w:t>Non-Public Network</w:t>
      </w:r>
      <w:r>
        <w:rPr>
          <w:lang w:val="en-IN"/>
        </w:rPr>
        <w:t xml:space="preserve"> as specified in </w:t>
      </w:r>
      <w:r>
        <w:t xml:space="preserve">in TS </w:t>
      </w:r>
      <w:r>
        <w:rPr>
          <w:rFonts w:eastAsia="等线"/>
        </w:rPr>
        <w:t>23.501</w:t>
      </w:r>
      <w:r>
        <w:t xml:space="preserve">, TS </w:t>
      </w:r>
      <w:r>
        <w:rPr>
          <w:rFonts w:eastAsia="等线"/>
        </w:rPr>
        <w:t>23.50</w:t>
      </w:r>
      <w:r>
        <w:rPr>
          <w:rFonts w:hint="eastAsia" w:eastAsia="等线"/>
          <w:lang w:eastAsia="zh-CN"/>
        </w:rPr>
        <w:t>2</w:t>
      </w:r>
      <w:r>
        <w:t xml:space="preserve">, TS </w:t>
      </w:r>
      <w:r>
        <w:rPr>
          <w:rFonts w:eastAsia="等线"/>
        </w:rPr>
        <w:t>23.50</w:t>
      </w:r>
      <w:r>
        <w:rPr>
          <w:rFonts w:hint="eastAsia" w:eastAsia="等线"/>
          <w:lang w:eastAsia="zh-CN"/>
        </w:rPr>
        <w:t>3</w:t>
      </w:r>
      <w:r>
        <w:t xml:space="preserve">, TS </w:t>
      </w:r>
      <w:r>
        <w:rPr>
          <w:rFonts w:eastAsia="等线"/>
        </w:rPr>
        <w:t>23.</w:t>
      </w:r>
      <w:r>
        <w:rPr>
          <w:rFonts w:hint="eastAsia" w:eastAsia="等线"/>
          <w:lang w:eastAsia="zh-CN"/>
        </w:rPr>
        <w:t xml:space="preserve">228 </w:t>
      </w:r>
      <w:r>
        <w:rPr>
          <w:rFonts w:eastAsia="等线"/>
        </w:rPr>
        <w:t>and TS 23.</w:t>
      </w:r>
      <w:r>
        <w:rPr>
          <w:rFonts w:hint="eastAsia" w:eastAsia="等线"/>
          <w:lang w:eastAsia="zh-CN"/>
        </w:rPr>
        <w:t>167</w:t>
      </w:r>
      <w:r>
        <w:t>.</w:t>
      </w:r>
    </w:p>
    <w:p>
      <w:r>
        <w:t>SA5 has studied the charging aspect</w:t>
      </w:r>
      <w:r>
        <w:rPr>
          <w:rFonts w:hint="default"/>
          <w:lang w:val="en-US"/>
        </w:rPr>
        <w:t>s</w:t>
      </w:r>
      <w:r>
        <w:t xml:space="preserve"> </w:t>
      </w:r>
      <w:r>
        <w:rPr>
          <w:rFonts w:hint="default"/>
          <w:lang w:val="en-US"/>
        </w:rPr>
        <w:t xml:space="preserve">for enhanced support of </w:t>
      </w:r>
      <w:r>
        <w:t>Non-Public Network in TR 2</w:t>
      </w:r>
      <w:r>
        <w:rPr>
          <w:lang w:val="en-US"/>
        </w:rPr>
        <w:t>8</w:t>
      </w:r>
      <w:r>
        <w:t>.</w:t>
      </w:r>
      <w:r>
        <w:rPr>
          <w:lang w:val="en-US"/>
        </w:rPr>
        <w:t>828</w:t>
      </w:r>
      <w:r>
        <w:t>, which identified t</w:t>
      </w:r>
      <w:r>
        <w:rPr>
          <w:rFonts w:hint="default"/>
          <w:lang w:val="en-US"/>
        </w:rPr>
        <w:t xml:space="preserve">he </w:t>
      </w:r>
      <w:r>
        <w:t xml:space="preserve">use cases, potential charging requirements, </w:t>
      </w:r>
      <w:r>
        <w:rPr>
          <w:rFonts w:hint="default"/>
          <w:lang w:val="en-US"/>
        </w:rPr>
        <w:t xml:space="preserve">and </w:t>
      </w:r>
      <w:r>
        <w:t>key issues</w:t>
      </w:r>
      <w:r>
        <w:rPr>
          <w:rFonts w:hint="default"/>
          <w:lang w:val="en-US"/>
        </w:rPr>
        <w:t xml:space="preserve">, </w:t>
      </w:r>
      <w:r>
        <w:t>and</w:t>
      </w:r>
      <w:r>
        <w:rPr>
          <w:rFonts w:hint="default"/>
          <w:lang w:val="en-US"/>
        </w:rPr>
        <w:t xml:space="preserve"> </w:t>
      </w:r>
      <w:r>
        <w:t>evaluated</w:t>
      </w:r>
      <w:r>
        <w:rPr>
          <w:rFonts w:hint="default"/>
          <w:lang w:val="en-US"/>
        </w:rPr>
        <w:t xml:space="preserve"> </w:t>
      </w:r>
      <w:r>
        <w:t>possible solutions for the following aspects</w:t>
      </w:r>
      <w:r>
        <w:rPr>
          <w:rFonts w:hint="default"/>
          <w:lang w:val="en-US"/>
        </w:rPr>
        <w:t xml:space="preserve"> </w:t>
      </w:r>
      <w:r>
        <w:t>for</w:t>
      </w:r>
      <w:r>
        <w:rPr>
          <w:rFonts w:hint="default"/>
          <w:lang w:val="en-US"/>
        </w:rPr>
        <w:t xml:space="preserve"> </w:t>
      </w:r>
      <w:r>
        <w:t>Non-Public Network</w:t>
      </w:r>
      <w:r>
        <w:rPr>
          <w:rFonts w:hint="default"/>
          <w:lang w:val="en-US"/>
        </w:rPr>
        <w:t xml:space="preserve"> c</w:t>
      </w:r>
      <w:r>
        <w:t>harging:</w:t>
      </w:r>
    </w:p>
    <w:p>
      <w:pPr>
        <w:ind w:left="568" w:hanging="284"/>
        <w:rPr>
          <w:rFonts w:hint="default"/>
          <w:lang w:val="en-US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hint="eastAsia"/>
        </w:rPr>
        <w:t>Charging for SNPN</w:t>
      </w:r>
    </w:p>
    <w:p>
      <w:pPr>
        <w:ind w:left="851" w:hanging="284"/>
        <w:rPr>
          <w:rFonts w:hint="default" w:ascii="Times New Roman" w:hAnsi="Times New Roman" w:eastAsia="Times New Roman" w:cs="Times New Roman"/>
          <w:lang w:val="en-US" w:eastAsia="en-US"/>
        </w:rPr>
      </w:pPr>
      <w:r>
        <w:rPr>
          <w:rFonts w:ascii="Times New Roman" w:hAnsi="Times New Roman" w:eastAsia="Times New Roman" w:cs="Times New Roman"/>
          <w:lang w:val="en-GB" w:eastAsia="en-US"/>
        </w:rPr>
        <w:t>-</w:t>
      </w:r>
      <w:r>
        <w:rPr>
          <w:rFonts w:ascii="Times New Roman" w:hAnsi="Times New Roman" w:eastAsia="Times New Roman" w:cs="Times New Roman"/>
          <w:lang w:val="en-GB" w:eastAsia="en-US"/>
        </w:rPr>
        <w:tab/>
      </w:r>
      <w:r>
        <w:rPr>
          <w:rFonts w:hint="eastAsia" w:ascii="Times New Roman" w:hAnsi="Times New Roman" w:eastAsia="Times New Roman" w:cs="Times New Roman"/>
          <w:lang w:val="en-GB" w:eastAsia="en-US"/>
        </w:rPr>
        <w:t>Converged charging for data connectivity in SNPN</w:t>
      </w:r>
      <w:r>
        <w:rPr>
          <w:rFonts w:hint="default" w:cs="Times New Roman"/>
          <w:lang w:val="en-US" w:eastAsia="en-US"/>
        </w:rPr>
        <w:t>;</w:t>
      </w:r>
    </w:p>
    <w:p>
      <w:pPr>
        <w:ind w:left="851" w:hanging="284"/>
        <w:rPr>
          <w:rFonts w:hint="default" w:ascii="Times New Roman" w:hAnsi="Times New Roman" w:eastAsia="Times New Roman" w:cs="Times New Roman"/>
          <w:lang w:val="en-US" w:eastAsia="en-US"/>
        </w:rPr>
      </w:pPr>
      <w:r>
        <w:rPr>
          <w:rFonts w:ascii="Times New Roman" w:hAnsi="Times New Roman" w:eastAsia="Times New Roman" w:cs="Times New Roman"/>
          <w:lang w:val="en-GB" w:eastAsia="en-US"/>
        </w:rPr>
        <w:t>-</w:t>
      </w:r>
      <w:r>
        <w:rPr>
          <w:rFonts w:ascii="Times New Roman" w:hAnsi="Times New Roman" w:eastAsia="Times New Roman" w:cs="Times New Roman"/>
          <w:lang w:val="en-GB" w:eastAsia="en-US"/>
        </w:rPr>
        <w:tab/>
      </w:r>
      <w:r>
        <w:rPr>
          <w:rFonts w:hint="eastAsia" w:ascii="Times New Roman" w:hAnsi="Times New Roman" w:eastAsia="Times New Roman" w:cs="Times New Roman"/>
          <w:lang w:val="en-GB" w:eastAsia="en-US"/>
        </w:rPr>
        <w:t>Converged charging for access connection in SNPN</w:t>
      </w:r>
      <w:r>
        <w:rPr>
          <w:rFonts w:hint="default" w:cs="Times New Roman"/>
          <w:lang w:val="en-US" w:eastAsia="en-US"/>
        </w:rPr>
        <w:t>;</w:t>
      </w:r>
    </w:p>
    <w:p>
      <w:pPr>
        <w:ind w:left="851" w:hanging="284"/>
        <w:rPr>
          <w:rFonts w:ascii="Times New Roman" w:hAnsi="Times New Roman" w:eastAsia="Times New Roman" w:cs="Times New Roman"/>
          <w:lang w:val="en-GB" w:eastAsia="en-US"/>
        </w:rPr>
      </w:pPr>
      <w:r>
        <w:rPr>
          <w:rFonts w:ascii="Times New Roman" w:hAnsi="Times New Roman" w:eastAsia="Times New Roman" w:cs="Times New Roman"/>
          <w:lang w:val="en-GB" w:eastAsia="en-US"/>
        </w:rPr>
        <w:t>-</w:t>
      </w:r>
      <w:r>
        <w:rPr>
          <w:rFonts w:ascii="Times New Roman" w:hAnsi="Times New Roman" w:eastAsia="Times New Roman" w:cs="Times New Roman"/>
          <w:lang w:val="en-GB" w:eastAsia="en-US"/>
        </w:rPr>
        <w:tab/>
      </w:r>
      <w:r>
        <w:rPr>
          <w:rFonts w:hint="eastAsia" w:ascii="Times New Roman" w:hAnsi="Times New Roman" w:eastAsia="Times New Roman" w:cs="Times New Roman"/>
          <w:lang w:val="en-GB" w:eastAsia="en-US"/>
        </w:rPr>
        <w:t>Converged charging for data connectivity in PLMN</w:t>
      </w:r>
      <w:r>
        <w:rPr>
          <w:rFonts w:hint="default" w:cs="Times New Roman"/>
          <w:lang w:val="en-US" w:eastAsia="en-US"/>
        </w:rPr>
        <w:t>.</w:t>
      </w:r>
    </w:p>
    <w:p>
      <w:pPr>
        <w:ind w:left="568" w:hanging="284"/>
        <w:rPr>
          <w:rFonts w:hint="default"/>
          <w:lang w:val="en-US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hint="eastAsia"/>
        </w:rPr>
        <w:t xml:space="preserve">Charging for </w:t>
      </w:r>
      <w:r>
        <w:rPr>
          <w:rFonts w:hint="default"/>
          <w:lang w:val="en-US"/>
        </w:rPr>
        <w:t>PNI-NPN</w:t>
      </w:r>
    </w:p>
    <w:p>
      <w:pPr>
        <w:ind w:left="851" w:hanging="284"/>
        <w:rPr>
          <w:rFonts w:hint="default" w:ascii="Times New Roman" w:hAnsi="Times New Roman" w:eastAsia="Times New Roman" w:cs="Times New Roman"/>
          <w:lang w:val="en-US" w:eastAsia="en-US"/>
        </w:rPr>
      </w:pPr>
      <w:r>
        <w:rPr>
          <w:rFonts w:hint="eastAsia" w:ascii="Times New Roman" w:hAnsi="Times New Roman" w:eastAsia="Times New Roman" w:cs="Times New Roman"/>
          <w:lang w:val="en-GB" w:eastAsia="en-US"/>
        </w:rPr>
        <w:t>-</w:t>
      </w:r>
      <w:r>
        <w:rPr>
          <w:rFonts w:hint="eastAsia" w:ascii="Times New Roman" w:hAnsi="Times New Roman" w:eastAsia="Times New Roman" w:cs="Times New Roman"/>
          <w:lang w:val="en-GB" w:eastAsia="en-US"/>
        </w:rPr>
        <w:tab/>
      </w:r>
      <w:r>
        <w:rPr>
          <w:rFonts w:hint="eastAsia" w:ascii="Times New Roman" w:hAnsi="Times New Roman" w:eastAsia="Times New Roman" w:cs="Times New Roman"/>
          <w:lang w:val="en-GB" w:eastAsia="en-US"/>
        </w:rPr>
        <w:t>Converged charging for access connection in PNI-NPN</w:t>
      </w:r>
      <w:r>
        <w:rPr>
          <w:rFonts w:hint="default" w:cs="Times New Roman"/>
          <w:lang w:val="en-US" w:eastAsia="en-US"/>
        </w:rPr>
        <w:t>;</w:t>
      </w:r>
    </w:p>
    <w:p>
      <w:pPr>
        <w:ind w:left="851" w:hanging="284"/>
        <w:rPr>
          <w:rFonts w:hint="default" w:ascii="Times New Roman" w:hAnsi="Times New Roman" w:eastAsia="Times New Roman" w:cs="Times New Roman"/>
          <w:lang w:val="en-US" w:eastAsia="en-US" w:bidi="ar-SA"/>
        </w:rPr>
      </w:pPr>
      <w:r>
        <w:rPr>
          <w:rFonts w:hint="eastAsia" w:ascii="Times New Roman" w:hAnsi="Times New Roman" w:eastAsia="Times New Roman" w:cs="Times New Roman"/>
          <w:lang w:val="en-GB" w:eastAsia="en-US"/>
        </w:rPr>
        <w:t>-</w:t>
      </w:r>
      <w:r>
        <w:rPr>
          <w:rFonts w:hint="eastAsia" w:ascii="Times New Roman" w:hAnsi="Times New Roman" w:eastAsia="Times New Roman" w:cs="Times New Roman"/>
          <w:lang w:val="en-GB" w:eastAsia="en-US"/>
        </w:rPr>
        <w:tab/>
      </w:r>
      <w:r>
        <w:rPr>
          <w:rFonts w:hint="eastAsia" w:ascii="Times New Roman" w:hAnsi="Times New Roman" w:eastAsia="Times New Roman" w:cs="Times New Roman"/>
          <w:lang w:val="en-GB" w:eastAsia="en-US"/>
        </w:rPr>
        <w:t>Converged charging for data connectivity in PNI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-NPN</w:t>
      </w:r>
      <w:r>
        <w:rPr>
          <w:rFonts w:hint="default" w:cs="Times New Roman"/>
          <w:lang w:val="en-US" w:eastAsia="en-US" w:bidi="ar-SA"/>
        </w:rPr>
        <w:t>.</w:t>
      </w:r>
    </w:p>
    <w:p>
      <w:r>
        <w:t>As recommended in TR 2</w:t>
      </w:r>
      <w:r>
        <w:rPr>
          <w:lang w:val="en-US"/>
        </w:rPr>
        <w:t>8</w:t>
      </w:r>
      <w:r>
        <w:t>.</w:t>
      </w:r>
      <w:r>
        <w:rPr>
          <w:lang w:val="en-US"/>
        </w:rPr>
        <w:t>828</w:t>
      </w:r>
      <w:r>
        <w:t>, normative</w:t>
      </w:r>
      <w:r>
        <w:rPr>
          <w:rFonts w:hint="default"/>
          <w:lang w:val="en-US"/>
        </w:rPr>
        <w:t xml:space="preserve"> </w:t>
      </w:r>
      <w:r>
        <w:t>work</w:t>
      </w:r>
      <w:r>
        <w:rPr>
          <w:rFonts w:hint="default"/>
          <w:lang w:val="en-US"/>
        </w:rPr>
        <w:t xml:space="preserve"> </w:t>
      </w:r>
      <w:r>
        <w:t xml:space="preserve">is required for </w:t>
      </w:r>
      <w:r>
        <w:rPr>
          <w:rFonts w:hint="eastAsia"/>
        </w:rPr>
        <w:t>Non-Public Network charging</w:t>
      </w:r>
      <w:r>
        <w:rPr>
          <w:rFonts w:hint="default"/>
          <w:lang w:val="en-US"/>
        </w:rPr>
        <w:t xml:space="preserve"> </w:t>
      </w:r>
      <w:r>
        <w:t>in Rel-1</w:t>
      </w:r>
      <w:r>
        <w:rPr>
          <w:rFonts w:hint="default"/>
          <w:lang w:val="en-US"/>
        </w:rPr>
        <w:t>8</w:t>
      </w:r>
      <w:r>
        <w:t>.</w:t>
      </w:r>
    </w:p>
    <w:p/>
    <w:p>
      <w:pPr>
        <w:pStyle w:val="3"/>
      </w:pPr>
      <w:r>
        <w:t>4</w:t>
      </w:r>
      <w:r>
        <w:tab/>
      </w:r>
      <w:r>
        <w:t>Objective</w:t>
      </w:r>
    </w:p>
    <w:p>
      <w:pPr>
        <w:rPr>
          <w:rFonts w:hint="eastAsia"/>
        </w:rPr>
      </w:pPr>
      <w:r>
        <w:t>The objective of this work item is to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specify charging architecture and charging information for</w:t>
      </w:r>
    </w:p>
    <w:p>
      <w:pPr>
        <w:ind w:left="568" w:hanging="284"/>
        <w:rPr>
          <w:rFonts w:hint="default"/>
          <w:lang w:val="en-US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hint="eastAsia"/>
        </w:rPr>
        <w:t>Charging for SNPN</w:t>
      </w:r>
    </w:p>
    <w:p>
      <w:pPr>
        <w:ind w:left="851" w:hanging="284"/>
        <w:rPr>
          <w:rFonts w:hint="default" w:ascii="Times New Roman" w:hAnsi="Times New Roman" w:eastAsia="Times New Roman" w:cs="Times New Roman"/>
          <w:lang w:val="en-US" w:eastAsia="en-US"/>
        </w:rPr>
      </w:pPr>
      <w:r>
        <w:rPr>
          <w:rFonts w:ascii="Times New Roman" w:hAnsi="Times New Roman" w:eastAsia="Times New Roman" w:cs="Times New Roman"/>
          <w:lang w:val="en-GB" w:eastAsia="en-US"/>
        </w:rPr>
        <w:t>-</w:t>
      </w:r>
      <w:r>
        <w:rPr>
          <w:rFonts w:ascii="Times New Roman" w:hAnsi="Times New Roman" w:eastAsia="Times New Roman" w:cs="Times New Roman"/>
          <w:lang w:val="en-GB" w:eastAsia="en-US"/>
        </w:rPr>
        <w:tab/>
      </w:r>
      <w:r>
        <w:rPr>
          <w:rFonts w:hint="eastAsia" w:ascii="Times New Roman" w:hAnsi="Times New Roman" w:eastAsia="Times New Roman" w:cs="Times New Roman"/>
          <w:lang w:val="en-GB" w:eastAsia="en-US"/>
        </w:rPr>
        <w:t>Converged charging for data connectivity in SNPN</w:t>
      </w:r>
      <w:r>
        <w:rPr>
          <w:rFonts w:hint="default" w:cs="Times New Roman"/>
          <w:lang w:val="en-US" w:eastAsia="en-US"/>
        </w:rPr>
        <w:t>;</w:t>
      </w:r>
    </w:p>
    <w:p>
      <w:pPr>
        <w:ind w:left="851" w:hanging="284"/>
        <w:rPr>
          <w:rFonts w:hint="default" w:ascii="Times New Roman" w:hAnsi="Times New Roman" w:eastAsia="Times New Roman" w:cs="Times New Roman"/>
          <w:lang w:val="en-US" w:eastAsia="en-US"/>
        </w:rPr>
      </w:pPr>
      <w:r>
        <w:rPr>
          <w:rFonts w:ascii="Times New Roman" w:hAnsi="Times New Roman" w:eastAsia="Times New Roman" w:cs="Times New Roman"/>
          <w:lang w:val="en-GB" w:eastAsia="en-US"/>
        </w:rPr>
        <w:t>-</w:t>
      </w:r>
      <w:r>
        <w:rPr>
          <w:rFonts w:ascii="Times New Roman" w:hAnsi="Times New Roman" w:eastAsia="Times New Roman" w:cs="Times New Roman"/>
          <w:lang w:val="en-GB" w:eastAsia="en-US"/>
        </w:rPr>
        <w:tab/>
      </w:r>
      <w:r>
        <w:rPr>
          <w:rFonts w:hint="eastAsia" w:ascii="Times New Roman" w:hAnsi="Times New Roman" w:eastAsia="Times New Roman" w:cs="Times New Roman"/>
          <w:lang w:val="en-GB" w:eastAsia="en-US"/>
        </w:rPr>
        <w:t>Converged charging for access connection in SNPN</w:t>
      </w:r>
      <w:r>
        <w:rPr>
          <w:rFonts w:hint="default" w:cs="Times New Roman"/>
          <w:lang w:val="en-US" w:eastAsia="en-US"/>
        </w:rPr>
        <w:t>;</w:t>
      </w:r>
    </w:p>
    <w:p>
      <w:pPr>
        <w:ind w:left="851" w:hanging="284"/>
        <w:rPr>
          <w:rFonts w:ascii="Times New Roman" w:hAnsi="Times New Roman" w:eastAsia="Times New Roman" w:cs="Times New Roman"/>
          <w:lang w:val="en-GB" w:eastAsia="en-US"/>
        </w:rPr>
      </w:pPr>
      <w:r>
        <w:rPr>
          <w:rFonts w:ascii="Times New Roman" w:hAnsi="Times New Roman" w:eastAsia="Times New Roman" w:cs="Times New Roman"/>
          <w:lang w:val="en-GB" w:eastAsia="en-US"/>
        </w:rPr>
        <w:t>-</w:t>
      </w:r>
      <w:r>
        <w:rPr>
          <w:rFonts w:ascii="Times New Roman" w:hAnsi="Times New Roman" w:eastAsia="Times New Roman" w:cs="Times New Roman"/>
          <w:lang w:val="en-GB" w:eastAsia="en-US"/>
        </w:rPr>
        <w:tab/>
      </w:r>
      <w:r>
        <w:rPr>
          <w:rFonts w:hint="eastAsia" w:ascii="Times New Roman" w:hAnsi="Times New Roman" w:eastAsia="Times New Roman" w:cs="Times New Roman"/>
          <w:lang w:val="en-GB" w:eastAsia="en-US"/>
        </w:rPr>
        <w:t>Converged charging for data connectivity in PLMN</w:t>
      </w:r>
      <w:r>
        <w:rPr>
          <w:rFonts w:hint="default" w:cs="Times New Roman"/>
          <w:lang w:val="en-US" w:eastAsia="en-US"/>
        </w:rPr>
        <w:t>.</w:t>
      </w:r>
    </w:p>
    <w:p>
      <w:pPr>
        <w:ind w:left="568" w:hanging="284"/>
        <w:rPr>
          <w:rFonts w:hint="default"/>
          <w:lang w:val="en-US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hint="eastAsia"/>
        </w:rPr>
        <w:t xml:space="preserve">Charging for </w:t>
      </w:r>
      <w:r>
        <w:rPr>
          <w:rFonts w:hint="default"/>
          <w:lang w:val="en-US"/>
        </w:rPr>
        <w:t>PNI-NPN</w:t>
      </w:r>
    </w:p>
    <w:p>
      <w:pPr>
        <w:ind w:left="851" w:hanging="284"/>
        <w:rPr>
          <w:rFonts w:hint="default" w:ascii="Times New Roman" w:hAnsi="Times New Roman" w:eastAsia="Times New Roman" w:cs="Times New Roman"/>
          <w:lang w:val="en-US" w:eastAsia="en-US"/>
        </w:rPr>
      </w:pPr>
      <w:r>
        <w:rPr>
          <w:rFonts w:hint="eastAsia" w:ascii="Times New Roman" w:hAnsi="Times New Roman" w:eastAsia="Times New Roman" w:cs="Times New Roman"/>
          <w:lang w:val="en-GB" w:eastAsia="en-US"/>
        </w:rPr>
        <w:t>-</w:t>
      </w:r>
      <w:r>
        <w:rPr>
          <w:rFonts w:hint="eastAsia" w:ascii="Times New Roman" w:hAnsi="Times New Roman" w:eastAsia="Times New Roman" w:cs="Times New Roman"/>
          <w:lang w:val="en-GB" w:eastAsia="en-US"/>
        </w:rPr>
        <w:tab/>
      </w:r>
      <w:r>
        <w:rPr>
          <w:rFonts w:hint="eastAsia" w:ascii="Times New Roman" w:hAnsi="Times New Roman" w:eastAsia="Times New Roman" w:cs="Times New Roman"/>
          <w:lang w:val="en-GB" w:eastAsia="en-US"/>
        </w:rPr>
        <w:t>Converged charging for access connection in PNI-NPN</w:t>
      </w:r>
      <w:r>
        <w:rPr>
          <w:rFonts w:hint="default" w:cs="Times New Roman"/>
          <w:lang w:val="en-US" w:eastAsia="en-US"/>
        </w:rPr>
        <w:t>;</w:t>
      </w:r>
    </w:p>
    <w:p>
      <w:pPr>
        <w:ind w:left="851" w:hanging="284"/>
        <w:rPr>
          <w:rFonts w:hint="default" w:ascii="Times New Roman" w:hAnsi="Times New Roman" w:eastAsia="Times New Roman" w:cs="Times New Roman"/>
          <w:lang w:val="en-US" w:eastAsia="en-US" w:bidi="ar-SA"/>
        </w:rPr>
      </w:pPr>
      <w:r>
        <w:rPr>
          <w:rFonts w:hint="eastAsia" w:ascii="Times New Roman" w:hAnsi="Times New Roman" w:eastAsia="Times New Roman" w:cs="Times New Roman"/>
          <w:lang w:val="en-GB" w:eastAsia="en-US"/>
        </w:rPr>
        <w:t>-</w:t>
      </w:r>
      <w:r>
        <w:rPr>
          <w:rFonts w:hint="eastAsia" w:ascii="Times New Roman" w:hAnsi="Times New Roman" w:eastAsia="Times New Roman" w:cs="Times New Roman"/>
          <w:lang w:val="en-GB" w:eastAsia="en-US"/>
        </w:rPr>
        <w:tab/>
      </w:r>
      <w:r>
        <w:rPr>
          <w:rFonts w:hint="eastAsia" w:ascii="Times New Roman" w:hAnsi="Times New Roman" w:eastAsia="Times New Roman" w:cs="Times New Roman"/>
          <w:lang w:val="en-GB" w:eastAsia="en-US"/>
        </w:rPr>
        <w:t>Converged charging for data connectivity in PNI</w:t>
      </w:r>
      <w:r>
        <w:rPr>
          <w:rFonts w:hint="eastAsia" w:ascii="Times New Roman" w:hAnsi="Times New Roman" w:eastAsia="Times New Roman" w:cs="Times New Roman"/>
          <w:lang w:val="en-GB" w:eastAsia="en-US" w:bidi="ar-SA"/>
        </w:rPr>
        <w:t>-NPN</w:t>
      </w:r>
      <w:r>
        <w:rPr>
          <w:rFonts w:hint="default" w:cs="Times New Roman"/>
          <w:lang w:val="en-US" w:eastAsia="en-US" w:bidi="ar-SA"/>
        </w:rPr>
        <w:t>.</w:t>
      </w:r>
    </w:p>
    <w:p>
      <w:pPr>
        <w:rPr>
          <w:rFonts w:hint="default"/>
          <w:lang w:val="en-US"/>
        </w:rPr>
      </w:pPr>
      <w:r>
        <w:t>This work will be based on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 xml:space="preserve">the corresponding conclusions documented in clauses 5.1.6, 5.2.6, 5.3.6, </w:t>
      </w:r>
      <w:r>
        <w:rPr>
          <w:rFonts w:hint="default"/>
          <w:lang w:val="en-US"/>
        </w:rPr>
        <w:t>6</w:t>
      </w:r>
      <w:r>
        <w:rPr>
          <w:rFonts w:hint="eastAsia"/>
        </w:rPr>
        <w:t>.</w:t>
      </w:r>
      <w:r>
        <w:rPr>
          <w:rFonts w:hint="default"/>
          <w:lang w:val="en-US"/>
        </w:rPr>
        <w:t>1</w:t>
      </w:r>
      <w:r>
        <w:rPr>
          <w:rFonts w:hint="eastAsia"/>
        </w:rPr>
        <w:t>.6 and 6.</w:t>
      </w:r>
      <w:r>
        <w:rPr>
          <w:rFonts w:hint="default"/>
          <w:lang w:val="en-US"/>
        </w:rPr>
        <w:t>2</w:t>
      </w:r>
      <w:r>
        <w:rPr>
          <w:rFonts w:hint="eastAsia"/>
        </w:rPr>
        <w:t>.6 of TR 28.828</w:t>
      </w:r>
      <w:r>
        <w:rPr>
          <w:rFonts w:hint="default"/>
          <w:lang w:val="en-US"/>
        </w:rPr>
        <w:t>.</w:t>
      </w:r>
    </w:p>
    <w:p/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3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3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3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3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3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3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93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126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>
            <w:pPr>
              <w:pStyle w:val="9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(New)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28.xxx</w:t>
            </w:r>
          </w:p>
          <w:p>
            <w:pPr>
              <w:pStyle w:val="126"/>
              <w:spacing w:after="0"/>
            </w:pPr>
          </w:p>
        </w:tc>
        <w:tc>
          <w:tcPr>
            <w:tcW w:w="2409" w:type="dxa"/>
          </w:tcPr>
          <w:p>
            <w:pPr>
              <w:pStyle w:val="126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hint="eastAsia" w:ascii="Arial" w:hAnsi="Arial"/>
                <w:i w:val="0"/>
                <w:color w:val="auto"/>
                <w:sz w:val="18"/>
                <w:lang w:eastAsia="en-GB"/>
              </w:rPr>
              <w:t xml:space="preserve">Charging management; </w:t>
            </w:r>
            <w:r>
              <w:rPr>
                <w:rFonts w:hint="default" w:ascii="Arial" w:hAnsi="Arial"/>
                <w:i w:val="0"/>
                <w:color w:val="auto"/>
                <w:sz w:val="18"/>
                <w:lang w:val="en-US" w:eastAsia="en-GB"/>
              </w:rPr>
              <w:t>Non-public networks charging in the 5G System (5GS)</w:t>
            </w:r>
          </w:p>
        </w:tc>
        <w:tc>
          <w:tcPr>
            <w:tcW w:w="993" w:type="dxa"/>
          </w:tcPr>
          <w:p>
            <w:pPr>
              <w:pStyle w:val="126"/>
              <w:spacing w:after="0"/>
            </w:pPr>
            <w:r>
              <w:rPr>
                <w:rFonts w:ascii="Arial" w:hAnsi="Arial" w:eastAsia="Times New Roman" w:cs="Arial"/>
                <w:i w:val="0"/>
                <w:color w:val="000000"/>
                <w:sz w:val="18"/>
                <w:szCs w:val="18"/>
                <w:lang w:val="en-GB" w:eastAsia="ja-JP" w:bidi="ar-SA"/>
              </w:rPr>
              <w:t>TSG#</w:t>
            </w:r>
            <w:r>
              <w:rPr>
                <w:rFonts w:hint="default" w:ascii="Arial" w:hAnsi="Arial" w:cs="Arial"/>
                <w:i w:val="0"/>
                <w:color w:val="000000"/>
                <w:sz w:val="18"/>
                <w:szCs w:val="18"/>
                <w:lang w:val="en-US" w:eastAsia="ja-JP" w:bidi="ar-SA"/>
              </w:rPr>
              <w:t>101</w:t>
            </w:r>
            <w:r>
              <w:rPr>
                <w:rFonts w:ascii="Arial" w:hAnsi="Arial" w:eastAsia="Times New Roman" w:cs="Arial"/>
                <w:i w:val="0"/>
                <w:color w:val="000000"/>
                <w:sz w:val="18"/>
                <w:szCs w:val="18"/>
                <w:lang w:val="en-GB" w:eastAsia="ja-JP" w:bidi="ar-SA"/>
              </w:rPr>
              <w:t xml:space="preserve"> (</w:t>
            </w:r>
            <w:r>
              <w:rPr>
                <w:rFonts w:hint="default" w:ascii="Arial" w:hAnsi="Arial" w:cs="Arial"/>
                <w:i w:val="0"/>
                <w:color w:val="000000"/>
                <w:sz w:val="18"/>
                <w:szCs w:val="18"/>
                <w:lang w:val="en-US" w:eastAsia="ja-JP" w:bidi="ar-SA"/>
              </w:rPr>
              <w:t>Sep.</w:t>
            </w:r>
            <w:r>
              <w:rPr>
                <w:rFonts w:ascii="Arial" w:hAnsi="Arial" w:eastAsia="Times New Roman" w:cs="Arial"/>
                <w:i w:val="0"/>
                <w:color w:val="000000"/>
                <w:sz w:val="18"/>
                <w:szCs w:val="18"/>
                <w:lang w:val="en-GB" w:eastAsia="ja-JP" w:bidi="ar-SA"/>
              </w:rPr>
              <w:t xml:space="preserve"> 2023)</w:t>
            </w:r>
          </w:p>
        </w:tc>
        <w:tc>
          <w:tcPr>
            <w:tcW w:w="1074" w:type="dxa"/>
          </w:tcPr>
          <w:p>
            <w:pPr>
              <w:pStyle w:val="126"/>
              <w:spacing w:after="0"/>
              <w:rPr>
                <w:rFonts w:hint="default" w:ascii="Arial" w:hAnsi="Arial" w:eastAsia="Times New Roman" w:cs="Arial"/>
                <w:i w:val="0"/>
                <w:color w:val="000000"/>
                <w:sz w:val="18"/>
                <w:szCs w:val="18"/>
                <w:lang w:val="en-US" w:eastAsia="ja-JP" w:bidi="ar-SA"/>
              </w:rPr>
            </w:pPr>
            <w:r>
              <w:rPr>
                <w:rFonts w:ascii="Arial" w:hAnsi="Arial" w:eastAsia="Times New Roman" w:cs="Arial"/>
                <w:i w:val="0"/>
                <w:color w:val="000000"/>
                <w:sz w:val="18"/>
                <w:szCs w:val="18"/>
                <w:lang w:val="en-GB" w:eastAsia="ja-JP" w:bidi="ar-SA"/>
              </w:rPr>
              <w:t xml:space="preserve"> TSG#10</w:t>
            </w:r>
            <w:r>
              <w:rPr>
                <w:rFonts w:hint="default" w:ascii="Arial" w:hAnsi="Arial" w:eastAsia="Times New Roman" w:cs="Arial"/>
                <w:i w:val="0"/>
                <w:color w:val="000000"/>
                <w:sz w:val="18"/>
                <w:szCs w:val="18"/>
                <w:lang w:val="en-US" w:eastAsia="ja-JP" w:bidi="ar-SA"/>
              </w:rPr>
              <w:t>2</w:t>
            </w:r>
          </w:p>
          <w:p>
            <w:pPr>
              <w:pStyle w:val="126"/>
              <w:spacing w:after="0"/>
            </w:pPr>
            <w:r>
              <w:rPr>
                <w:rFonts w:ascii="Arial" w:hAnsi="Arial" w:eastAsia="Times New Roman" w:cs="Arial"/>
                <w:i w:val="0"/>
                <w:color w:val="000000"/>
                <w:sz w:val="18"/>
                <w:szCs w:val="18"/>
                <w:lang w:val="en-GB" w:eastAsia="ja-JP" w:bidi="ar-SA"/>
              </w:rPr>
              <w:t>(Dec</w:t>
            </w:r>
            <w:r>
              <w:rPr>
                <w:rFonts w:hint="default" w:ascii="Arial" w:hAnsi="Arial" w:eastAsia="Times New Roman" w:cs="Arial"/>
                <w:i w:val="0"/>
                <w:color w:val="000000"/>
                <w:sz w:val="18"/>
                <w:szCs w:val="18"/>
                <w:lang w:val="en-US" w:eastAsia="ja-JP" w:bidi="ar-SA"/>
              </w:rPr>
              <w:t>.</w:t>
            </w:r>
            <w:r>
              <w:rPr>
                <w:rFonts w:ascii="Arial" w:hAnsi="Arial" w:eastAsia="Times New Roman" w:cs="Arial"/>
                <w:i w:val="0"/>
                <w:color w:val="000000"/>
                <w:sz w:val="18"/>
                <w:szCs w:val="18"/>
                <w:lang w:val="en-GB" w:eastAsia="ja-JP" w:bidi="ar-SA"/>
              </w:rPr>
              <w:t xml:space="preserve"> 2023)</w:t>
            </w:r>
          </w:p>
        </w:tc>
        <w:tc>
          <w:tcPr>
            <w:tcW w:w="2186" w:type="dxa"/>
          </w:tcPr>
          <w:p>
            <w:pPr>
              <w:pStyle w:val="126"/>
              <w:spacing w:after="0"/>
            </w:pPr>
            <w:r>
              <w:rPr>
                <w:rFonts w:hint="eastAsia" w:ascii="Arial" w:hAnsi="Arial" w:eastAsia="Times New Roman" w:cs="Arial"/>
                <w:i w:val="0"/>
                <w:color w:val="auto"/>
                <w:sz w:val="18"/>
                <w:szCs w:val="18"/>
                <w:lang w:val="fr-FR" w:eastAsia="en-GB"/>
              </w:rPr>
              <w:t>Chen, Ai</w:t>
            </w:r>
            <w:r>
              <w:rPr>
                <w:rFonts w:ascii="Arial" w:hAnsi="Arial" w:eastAsia="Times New Roman" w:cs="Arial"/>
                <w:i w:val="0"/>
                <w:color w:val="auto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rFonts w:hint="eastAsia" w:ascii="Arial" w:hAnsi="Arial" w:eastAsia="Times New Roman" w:cs="Arial"/>
                <w:i w:val="0"/>
                <w:color w:val="auto"/>
                <w:sz w:val="18"/>
                <w:szCs w:val="18"/>
                <w:lang w:val="fr-FR" w:eastAsia="en-GB"/>
              </w:rPr>
              <w:t>China Mobile</w:t>
            </w:r>
            <w:r>
              <w:rPr>
                <w:rFonts w:ascii="Arial" w:hAnsi="Arial" w:eastAsia="Times New Roman" w:cs="Arial"/>
                <w:i w:val="0"/>
                <w:color w:val="auto"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rFonts w:hint="eastAsia" w:ascii="Arial" w:hAnsi="Arial" w:eastAsia="Times New Roman" w:cs="Arial"/>
                <w:i w:val="0"/>
                <w:color w:val="auto"/>
                <w:sz w:val="18"/>
                <w:szCs w:val="18"/>
                <w:lang w:val="fr-FR" w:eastAsia="en-GB"/>
              </w:rPr>
              <w:t>chenai at chinamobile dot 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91"/>
            </w:pPr>
          </w:p>
        </w:tc>
        <w:tc>
          <w:tcPr>
            <w:tcW w:w="1134" w:type="dxa"/>
          </w:tcPr>
          <w:p>
            <w:pPr>
              <w:pStyle w:val="91"/>
            </w:pPr>
          </w:p>
        </w:tc>
        <w:tc>
          <w:tcPr>
            <w:tcW w:w="2409" w:type="dxa"/>
          </w:tcPr>
          <w:p>
            <w:pPr>
              <w:pStyle w:val="91"/>
            </w:pPr>
          </w:p>
        </w:tc>
        <w:tc>
          <w:tcPr>
            <w:tcW w:w="993" w:type="dxa"/>
          </w:tcPr>
          <w:p>
            <w:pPr>
              <w:pStyle w:val="91"/>
            </w:pPr>
          </w:p>
        </w:tc>
        <w:tc>
          <w:tcPr>
            <w:tcW w:w="1074" w:type="dxa"/>
          </w:tcPr>
          <w:p>
            <w:pPr>
              <w:pStyle w:val="91"/>
            </w:pPr>
          </w:p>
        </w:tc>
        <w:tc>
          <w:tcPr>
            <w:tcW w:w="2186" w:type="dxa"/>
          </w:tcPr>
          <w:p>
            <w:pPr>
              <w:pStyle w:val="91"/>
            </w:pPr>
          </w:p>
        </w:tc>
      </w:tr>
    </w:tbl>
    <w:p>
      <w:pPr>
        <w:pStyle w:val="103"/>
      </w:pPr>
    </w:p>
    <w:p/>
    <w:tbl>
      <w:tblPr>
        <w:tblStyle w:val="8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3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3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3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3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93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26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32.240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26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 xml:space="preserve">Update </w:t>
            </w: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>c</w:t>
            </w: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>harging specifications structure</w:t>
            </w: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 xml:space="preserve"> to support non-public networks charging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1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2</w:t>
            </w:r>
          </w:p>
          <w:p>
            <w:pPr>
              <w:pStyle w:val="91"/>
            </w:pPr>
            <w:r>
              <w:t>(Dec</w:t>
            </w:r>
            <w:r>
              <w:rPr>
                <w:rFonts w:hint="default"/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26"/>
              <w:spacing w:after="0"/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>32.255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26"/>
              <w:spacing w:after="0"/>
              <w:rPr>
                <w:rFonts w:hint="eastAsia" w:ascii="Arial" w:hAnsi="Arial" w:cs="Arial"/>
                <w:i w:val="0"/>
                <w:sz w:val="18"/>
                <w:szCs w:val="18"/>
              </w:rPr>
            </w:pP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 xml:space="preserve"> SMF</w:t>
            </w: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>charging to support non-public networks charging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1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2</w:t>
            </w:r>
          </w:p>
          <w:p>
            <w:pPr>
              <w:pStyle w:val="91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t>(Dec</w:t>
            </w:r>
            <w:r>
              <w:rPr>
                <w:rFonts w:hint="default"/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26"/>
              <w:spacing w:after="0"/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>32.256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26"/>
              <w:spacing w:after="0"/>
              <w:rPr>
                <w:rFonts w:hint="eastAsia" w:ascii="Arial" w:hAnsi="Arial" w:cs="Arial"/>
                <w:i w:val="0"/>
                <w:sz w:val="18"/>
                <w:szCs w:val="18"/>
              </w:rPr>
            </w:pP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 xml:space="preserve"> AMF</w:t>
            </w: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hint="default" w:ascii="Arial" w:hAnsi="Arial" w:cs="Arial"/>
                <w:i w:val="0"/>
                <w:sz w:val="18"/>
                <w:szCs w:val="18"/>
                <w:lang w:val="en-US"/>
              </w:rPr>
              <w:t>charging to support non-public networks charging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1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2</w:t>
            </w:r>
          </w:p>
          <w:p>
            <w:pPr>
              <w:pStyle w:val="91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t>(Dec</w:t>
            </w:r>
            <w:r>
              <w:rPr>
                <w:rFonts w:hint="default"/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6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1"/>
            </w:pPr>
            <w:r>
              <w:t>32.290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1"/>
              <w:rPr>
                <w:rFonts w:hint="default"/>
                <w:lang w:val="en-US"/>
              </w:rPr>
            </w:pPr>
            <w:r>
              <w:t>Update common converged charging service description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 w:eastAsiaTheme="minorEastAsia"/>
                <w:i w:val="0"/>
                <w:lang w:eastAsia="zh-CN"/>
              </w:rPr>
              <w:t>to support</w:t>
            </w:r>
            <w:r>
              <w:rPr>
                <w:rFonts w:hint="default" w:eastAsiaTheme="minorEastAsia"/>
                <w:i w:val="0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>n</w:t>
            </w:r>
            <w:r>
              <w:rPr>
                <w:rFonts w:hint="default" w:ascii="Arial" w:hAnsi="Arial"/>
                <w:i w:val="0"/>
                <w:color w:val="auto"/>
                <w:sz w:val="18"/>
                <w:lang w:val="en-US" w:eastAsia="en-GB"/>
              </w:rPr>
              <w:t>on-public networks</w:t>
            </w:r>
            <w:r>
              <w:rPr>
                <w:rFonts w:hint="default"/>
                <w:i w:val="0"/>
                <w:color w:val="auto"/>
                <w:sz w:val="18"/>
                <w:lang w:val="en-US" w:eastAsia="en-GB"/>
              </w:rPr>
              <w:t xml:space="preserve"> </w:t>
            </w:r>
            <w:r>
              <w:rPr>
                <w:rFonts w:hint="default" w:ascii="Arial" w:hAnsi="Arial"/>
                <w:i w:val="0"/>
                <w:color w:val="auto"/>
                <w:sz w:val="18"/>
                <w:lang w:val="en-US" w:eastAsia="en-GB"/>
              </w:rPr>
              <w:t>charging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1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2</w:t>
            </w:r>
          </w:p>
          <w:p>
            <w:pPr>
              <w:pStyle w:val="91"/>
            </w:pPr>
            <w:r>
              <w:t>(Dec</w:t>
            </w:r>
            <w:r>
              <w:rPr>
                <w:rFonts w:hint="default"/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1"/>
            </w:pPr>
            <w:r>
              <w:t>32.291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1"/>
            </w:pPr>
            <w:r>
              <w:t>Update Nchf_ConvergedCharging service API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 w:eastAsiaTheme="minorEastAsia"/>
                <w:i w:val="0"/>
                <w:lang w:eastAsia="zh-CN"/>
              </w:rPr>
              <w:t>to support</w:t>
            </w:r>
            <w:r>
              <w:rPr>
                <w:rFonts w:hint="default" w:eastAsiaTheme="minorEastAsia"/>
                <w:i w:val="0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>n</w:t>
            </w:r>
            <w:r>
              <w:rPr>
                <w:rFonts w:hint="default" w:ascii="Arial" w:hAnsi="Arial"/>
                <w:i w:val="0"/>
                <w:color w:val="auto"/>
                <w:sz w:val="18"/>
                <w:lang w:val="en-US" w:eastAsia="en-GB"/>
              </w:rPr>
              <w:t>on-public networks</w:t>
            </w:r>
            <w:r>
              <w:rPr>
                <w:rFonts w:hint="default"/>
                <w:i w:val="0"/>
                <w:color w:val="auto"/>
                <w:sz w:val="18"/>
                <w:lang w:val="en-US" w:eastAsia="en-GB"/>
              </w:rPr>
              <w:t xml:space="preserve"> </w:t>
            </w:r>
            <w:r>
              <w:rPr>
                <w:rFonts w:hint="default" w:ascii="Arial" w:hAnsi="Arial"/>
                <w:i w:val="0"/>
                <w:color w:val="auto"/>
                <w:sz w:val="18"/>
                <w:lang w:val="en-US" w:eastAsia="en-GB"/>
              </w:rPr>
              <w:t>charging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1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3</w:t>
            </w:r>
          </w:p>
          <w:p>
            <w:pPr>
              <w:pStyle w:val="91"/>
            </w:pPr>
            <w:r>
              <w:t>(</w:t>
            </w:r>
            <w:r>
              <w:rPr>
                <w:rFonts w:hint="default"/>
                <w:lang w:val="en-US"/>
              </w:rPr>
              <w:t>Mar.</w:t>
            </w:r>
            <w:r>
              <w:t xml:space="preserve"> 202</w:t>
            </w:r>
            <w:r>
              <w:rPr>
                <w:rFonts w:hint="default"/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1"/>
            </w:pPr>
            <w:r>
              <w:t>32.298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1"/>
              <w:rPr>
                <w:rFonts w:hint="default"/>
                <w:lang w:val="en-US"/>
              </w:rPr>
            </w:pPr>
            <w:r>
              <w:t>New CDR(s) definition and ASN.1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 w:eastAsiaTheme="minorEastAsia"/>
                <w:i w:val="0"/>
                <w:lang w:eastAsia="zh-CN"/>
              </w:rPr>
              <w:t>to support</w:t>
            </w:r>
            <w:r>
              <w:rPr>
                <w:rFonts w:hint="default" w:eastAsiaTheme="minorEastAsia"/>
                <w:i w:val="0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>n</w:t>
            </w:r>
            <w:r>
              <w:rPr>
                <w:rFonts w:hint="default" w:ascii="Arial" w:hAnsi="Arial"/>
                <w:i w:val="0"/>
                <w:color w:val="auto"/>
                <w:sz w:val="18"/>
                <w:lang w:val="en-US" w:eastAsia="en-GB"/>
              </w:rPr>
              <w:t>on-public networks</w:t>
            </w:r>
            <w:r>
              <w:rPr>
                <w:rFonts w:hint="default"/>
                <w:i w:val="0"/>
                <w:color w:val="auto"/>
                <w:sz w:val="18"/>
                <w:lang w:val="en-US" w:eastAsia="en-GB"/>
              </w:rPr>
              <w:t xml:space="preserve"> </w:t>
            </w:r>
            <w:r>
              <w:rPr>
                <w:rFonts w:hint="default" w:ascii="Arial" w:hAnsi="Arial"/>
                <w:i w:val="0"/>
                <w:color w:val="auto"/>
                <w:sz w:val="18"/>
                <w:lang w:val="en-US" w:eastAsia="en-GB"/>
              </w:rPr>
              <w:t>charging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1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3</w:t>
            </w:r>
          </w:p>
          <w:p>
            <w:pPr>
              <w:pStyle w:val="91"/>
            </w:pPr>
            <w:r>
              <w:t>(</w:t>
            </w:r>
            <w:r>
              <w:rPr>
                <w:rFonts w:hint="default"/>
                <w:lang w:val="en-US"/>
              </w:rPr>
              <w:t>Mar.</w:t>
            </w:r>
            <w:r>
              <w:t xml:space="preserve"> 202</w:t>
            </w:r>
            <w:r>
              <w:rPr>
                <w:rFonts w:hint="default"/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1"/>
            </w:pPr>
            <w:r>
              <w:t>32.297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1"/>
            </w:pPr>
            <w:r>
              <w:t xml:space="preserve">Update </w:t>
            </w:r>
            <w:r>
              <w:rPr>
                <w:lang w:eastAsia="zh-CN"/>
              </w:rPr>
              <w:t>Charging Data Record (CDR) file format and transfer for new CDR(s)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1"/>
              <w:rPr>
                <w:rFonts w:hint="default"/>
                <w:lang w:val="en-US"/>
              </w:rPr>
            </w:pPr>
            <w:r>
              <w:t>TSG#10</w:t>
            </w:r>
            <w:r>
              <w:rPr>
                <w:rFonts w:hint="default"/>
                <w:lang w:val="en-US"/>
              </w:rPr>
              <w:t>3</w:t>
            </w:r>
          </w:p>
          <w:p>
            <w:pPr>
              <w:pStyle w:val="91"/>
            </w:pPr>
            <w:r>
              <w:t>(</w:t>
            </w:r>
            <w:r>
              <w:rPr>
                <w:rFonts w:hint="default"/>
                <w:lang w:val="en-US"/>
              </w:rPr>
              <w:t>Mar.</w:t>
            </w:r>
            <w:r>
              <w:t xml:space="preserve"> 202</w:t>
            </w:r>
            <w:r>
              <w:rPr>
                <w:rFonts w:hint="default"/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91"/>
            </w:pPr>
          </w:p>
        </w:tc>
      </w:tr>
    </w:tbl>
    <w:p/>
    <w:p>
      <w:pPr>
        <w:pStyle w:val="3"/>
      </w:pPr>
      <w:r>
        <w:t>6</w:t>
      </w:r>
      <w:r>
        <w:tab/>
      </w:r>
      <w:r>
        <w:t>Work item Rapporteur(s)</w:t>
      </w:r>
    </w:p>
    <w:p>
      <w:r>
        <w:rPr>
          <w:rFonts w:hint="eastAsia" w:eastAsia="Times New Roman"/>
          <w:color w:val="auto"/>
          <w:lang w:eastAsia="zh-CN"/>
        </w:rPr>
        <w:t>Chen, Ai</w:t>
      </w:r>
      <w:r>
        <w:rPr>
          <w:rFonts w:eastAsia="Times New Roman"/>
          <w:color w:val="auto"/>
          <w:lang w:eastAsia="zh-CN"/>
        </w:rPr>
        <w:t xml:space="preserve">, </w:t>
      </w:r>
      <w:r>
        <w:rPr>
          <w:rFonts w:hint="eastAsia" w:eastAsia="Times New Roman"/>
          <w:color w:val="auto"/>
          <w:lang w:eastAsia="zh-CN"/>
        </w:rPr>
        <w:t>China Mobile</w:t>
      </w:r>
      <w:r>
        <w:rPr>
          <w:rFonts w:eastAsia="Times New Roman"/>
          <w:color w:val="auto"/>
          <w:lang w:eastAsia="zh-CN"/>
        </w:rPr>
        <w:t xml:space="preserve">, </w:t>
      </w:r>
      <w:r>
        <w:rPr>
          <w:rFonts w:hint="eastAsia" w:eastAsia="Times New Roman"/>
          <w:color w:val="auto"/>
          <w:lang w:eastAsia="zh-CN"/>
        </w:rPr>
        <w:t>chenai</w:t>
      </w:r>
      <w:r>
        <w:rPr>
          <w:rFonts w:hint="eastAsia"/>
          <w:i w:val="0"/>
          <w:lang w:eastAsia="zh-CN"/>
        </w:rPr>
        <w:t xml:space="preserve"> at chinamobile dot com</w:t>
      </w:r>
    </w:p>
    <w:p>
      <w:pPr>
        <w:tabs>
          <w:tab w:val="left" w:pos="5599"/>
        </w:tabs>
      </w:pPr>
    </w:p>
    <w:p>
      <w:pPr>
        <w:pStyle w:val="3"/>
      </w:pPr>
      <w:r>
        <w:t>7</w:t>
      </w:r>
      <w:r>
        <w:tab/>
      </w:r>
      <w:r>
        <w:t>Work item leadership</w:t>
      </w:r>
    </w:p>
    <w:p>
      <w:r>
        <w:rPr>
          <w:rFonts w:eastAsia="宋体"/>
          <w:color w:val="auto"/>
          <w:lang w:eastAsia="en-GB"/>
        </w:rPr>
        <w:t>SA5</w:t>
      </w:r>
    </w:p>
    <w:p>
      <w:pPr>
        <w:pStyle w:val="3"/>
      </w:pPr>
      <w:r>
        <w:t>8</w:t>
      </w:r>
      <w:r>
        <w:tab/>
      </w:r>
      <w:r>
        <w:t>Aspects that involve other WGs</w:t>
      </w:r>
    </w:p>
    <w:p>
      <w:r>
        <w:rPr>
          <w:rFonts w:hint="eastAsia"/>
          <w:lang w:eastAsia="zh-CN"/>
        </w:rPr>
        <w:t>None</w:t>
      </w:r>
    </w:p>
    <w:p>
      <w:pPr>
        <w:pStyle w:val="3"/>
      </w:pPr>
      <w:r>
        <w:t>9</w:t>
      </w:r>
      <w:r>
        <w:tab/>
      </w:r>
      <w:r>
        <w:t>Supporting Individual Members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93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1"/>
            </w:pPr>
            <w: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91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249B4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378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4572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0718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3233"/>
    <w:rsid w:val="00AB0F95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106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1266C1F"/>
    <w:rsid w:val="02395587"/>
    <w:rsid w:val="024744BC"/>
    <w:rsid w:val="053D00F4"/>
    <w:rsid w:val="05A414C0"/>
    <w:rsid w:val="0611389E"/>
    <w:rsid w:val="06900BCA"/>
    <w:rsid w:val="071B360B"/>
    <w:rsid w:val="0A3554BF"/>
    <w:rsid w:val="0ACB08F5"/>
    <w:rsid w:val="0B1D1531"/>
    <w:rsid w:val="0CA65B01"/>
    <w:rsid w:val="0CBD7B5A"/>
    <w:rsid w:val="0D76118E"/>
    <w:rsid w:val="0E917E11"/>
    <w:rsid w:val="0F17528F"/>
    <w:rsid w:val="0F9E244B"/>
    <w:rsid w:val="0FA551B5"/>
    <w:rsid w:val="111C63C0"/>
    <w:rsid w:val="11C86B06"/>
    <w:rsid w:val="128F040F"/>
    <w:rsid w:val="12E800A9"/>
    <w:rsid w:val="12F91249"/>
    <w:rsid w:val="1403349E"/>
    <w:rsid w:val="141422F6"/>
    <w:rsid w:val="14581C28"/>
    <w:rsid w:val="159B553C"/>
    <w:rsid w:val="16006E3C"/>
    <w:rsid w:val="175F2B34"/>
    <w:rsid w:val="184D2A15"/>
    <w:rsid w:val="18913CE3"/>
    <w:rsid w:val="19851377"/>
    <w:rsid w:val="19A800D8"/>
    <w:rsid w:val="19AF1049"/>
    <w:rsid w:val="19DB7500"/>
    <w:rsid w:val="1A713AE9"/>
    <w:rsid w:val="1C087B94"/>
    <w:rsid w:val="1C5D0947"/>
    <w:rsid w:val="1D01339C"/>
    <w:rsid w:val="1EB4176A"/>
    <w:rsid w:val="1EC43746"/>
    <w:rsid w:val="1F6B5F84"/>
    <w:rsid w:val="1FB82D52"/>
    <w:rsid w:val="21F13CEF"/>
    <w:rsid w:val="22317468"/>
    <w:rsid w:val="226310DB"/>
    <w:rsid w:val="23231775"/>
    <w:rsid w:val="25750787"/>
    <w:rsid w:val="279413A5"/>
    <w:rsid w:val="2B26094A"/>
    <w:rsid w:val="2BC8677E"/>
    <w:rsid w:val="2D1B2240"/>
    <w:rsid w:val="2D72445E"/>
    <w:rsid w:val="2D810929"/>
    <w:rsid w:val="2E256D4D"/>
    <w:rsid w:val="2F39005A"/>
    <w:rsid w:val="2FAE50D3"/>
    <w:rsid w:val="2FCB1485"/>
    <w:rsid w:val="2FD73FC4"/>
    <w:rsid w:val="2FEF1E18"/>
    <w:rsid w:val="313242DC"/>
    <w:rsid w:val="32B46A19"/>
    <w:rsid w:val="33C70AF4"/>
    <w:rsid w:val="33CF5E66"/>
    <w:rsid w:val="3727013F"/>
    <w:rsid w:val="375E379E"/>
    <w:rsid w:val="37C92E65"/>
    <w:rsid w:val="395F4DB7"/>
    <w:rsid w:val="3ADF72E1"/>
    <w:rsid w:val="3AFC6B4F"/>
    <w:rsid w:val="3B15153B"/>
    <w:rsid w:val="3C0911C6"/>
    <w:rsid w:val="3C424317"/>
    <w:rsid w:val="3CC525B3"/>
    <w:rsid w:val="3CCB05AD"/>
    <w:rsid w:val="408B5F33"/>
    <w:rsid w:val="40CC0A52"/>
    <w:rsid w:val="41FD4844"/>
    <w:rsid w:val="42E25B04"/>
    <w:rsid w:val="44C748AE"/>
    <w:rsid w:val="4685175B"/>
    <w:rsid w:val="476761F0"/>
    <w:rsid w:val="47880C54"/>
    <w:rsid w:val="49205CB1"/>
    <w:rsid w:val="49991D6B"/>
    <w:rsid w:val="4B392868"/>
    <w:rsid w:val="4B430A62"/>
    <w:rsid w:val="4B635E28"/>
    <w:rsid w:val="4C940919"/>
    <w:rsid w:val="4F263D51"/>
    <w:rsid w:val="51980CFA"/>
    <w:rsid w:val="52847D30"/>
    <w:rsid w:val="528620CC"/>
    <w:rsid w:val="52980C98"/>
    <w:rsid w:val="556955E3"/>
    <w:rsid w:val="563F6A69"/>
    <w:rsid w:val="5713552E"/>
    <w:rsid w:val="57F368F0"/>
    <w:rsid w:val="582F0EEE"/>
    <w:rsid w:val="58F918E7"/>
    <w:rsid w:val="59FE62B9"/>
    <w:rsid w:val="5C173B04"/>
    <w:rsid w:val="5C7B3599"/>
    <w:rsid w:val="5D364097"/>
    <w:rsid w:val="5DA20C57"/>
    <w:rsid w:val="5E6560F9"/>
    <w:rsid w:val="5EAE45BE"/>
    <w:rsid w:val="5EEF6958"/>
    <w:rsid w:val="5F5546D0"/>
    <w:rsid w:val="61C36A3A"/>
    <w:rsid w:val="62BD5CFA"/>
    <w:rsid w:val="63C24FCC"/>
    <w:rsid w:val="646869DB"/>
    <w:rsid w:val="649B78EA"/>
    <w:rsid w:val="66A13610"/>
    <w:rsid w:val="66C95502"/>
    <w:rsid w:val="66D41343"/>
    <w:rsid w:val="66E83B27"/>
    <w:rsid w:val="67802B3A"/>
    <w:rsid w:val="6840495A"/>
    <w:rsid w:val="68CE6F0B"/>
    <w:rsid w:val="692450A9"/>
    <w:rsid w:val="6A1973F6"/>
    <w:rsid w:val="6B2456BB"/>
    <w:rsid w:val="6BB82FF8"/>
    <w:rsid w:val="6C674F2B"/>
    <w:rsid w:val="6C6E0949"/>
    <w:rsid w:val="6C7544FD"/>
    <w:rsid w:val="71CB7896"/>
    <w:rsid w:val="72160FD0"/>
    <w:rsid w:val="72167534"/>
    <w:rsid w:val="72FB3642"/>
    <w:rsid w:val="73676460"/>
    <w:rsid w:val="74491966"/>
    <w:rsid w:val="752C05D1"/>
    <w:rsid w:val="777A4BA8"/>
    <w:rsid w:val="77FD14ED"/>
    <w:rsid w:val="7A2C5E65"/>
    <w:rsid w:val="7B29645D"/>
    <w:rsid w:val="7B5C336F"/>
    <w:rsid w:val="7C57516C"/>
    <w:rsid w:val="7DF142B3"/>
    <w:rsid w:val="7EA504DC"/>
    <w:rsid w:val="7ED630DE"/>
    <w:rsid w:val="7F2F2C8A"/>
    <w:rsid w:val="7FD26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2835" w:hanging="2835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1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color w:val="000000"/>
      <w:lang w:val="en-GB" w:eastAsia="ja-JP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54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43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42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2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58"/>
    <w:qFormat/>
    <w:uiPriority w:val="0"/>
  </w:style>
  <w:style w:type="paragraph" w:styleId="38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39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27"/>
    <w:qFormat/>
    <w:uiPriority w:val="0"/>
    <w:pPr>
      <w:widowControl w:val="0"/>
    </w:pPr>
    <w:rPr>
      <w:i/>
    </w:rPr>
  </w:style>
  <w:style w:type="paragraph" w:styleId="42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1"/>
    <w:qFormat/>
    <w:uiPriority w:val="0"/>
    <w:pPr>
      <w:ind w:left="566" w:hanging="283"/>
      <w:contextualSpacing/>
    </w:pPr>
  </w:style>
  <w:style w:type="paragraph" w:styleId="45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6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7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8">
    <w:name w:val="HTML Address"/>
    <w:basedOn w:val="1"/>
    <w:link w:val="146"/>
    <w:qFormat/>
    <w:uiPriority w:val="0"/>
    <w:pPr>
      <w:spacing w:after="0"/>
    </w:pPr>
    <w:rPr>
      <w:i/>
      <w:iCs/>
    </w:rPr>
  </w:style>
  <w:style w:type="paragraph" w:styleId="49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0">
    <w:name w:val="Plain Text"/>
    <w:basedOn w:val="1"/>
    <w:link w:val="155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1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2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3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5">
    <w:name w:val="Date"/>
    <w:basedOn w:val="1"/>
    <w:next w:val="1"/>
    <w:link w:val="141"/>
    <w:qFormat/>
    <w:uiPriority w:val="0"/>
  </w:style>
  <w:style w:type="paragraph" w:styleId="56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44"/>
    <w:qFormat/>
    <w:uiPriority w:val="0"/>
    <w:pPr>
      <w:spacing w:after="0"/>
    </w:pPr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30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0">
    <w:name w:val="footer"/>
    <w:basedOn w:val="61"/>
    <w:qFormat/>
    <w:uiPriority w:val="0"/>
    <w:pPr>
      <w:jc w:val="center"/>
    </w:pPr>
    <w:rPr>
      <w:i/>
    </w:rPr>
  </w:style>
  <w:style w:type="paragraph" w:styleId="61">
    <w:name w:val="header"/>
    <w:link w:val="16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62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3">
    <w:name w:val="Signature"/>
    <w:basedOn w:val="1"/>
    <w:link w:val="159"/>
    <w:qFormat/>
    <w:uiPriority w:val="0"/>
    <w:pPr>
      <w:spacing w:after="0"/>
      <w:ind w:left="4252"/>
    </w:p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1"/>
    <w:next w:val="66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6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7">
    <w:name w:val="Subtitle"/>
    <w:basedOn w:val="1"/>
    <w:next w:val="1"/>
    <w:link w:val="160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9">
    <w:name w:val="List"/>
    <w:basedOn w:val="1"/>
    <w:qFormat/>
    <w:uiPriority w:val="0"/>
    <w:pPr>
      <w:ind w:left="283" w:hanging="283"/>
      <w:contextualSpacing/>
    </w:pPr>
  </w:style>
  <w:style w:type="paragraph" w:styleId="70">
    <w:name w:val="footnote text"/>
    <w:basedOn w:val="1"/>
    <w:link w:val="145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3"/>
    <w:next w:val="1"/>
    <w:semiHidden/>
    <w:qFormat/>
    <w:uiPriority w:val="0"/>
    <w:pPr>
      <w:ind w:left="1418" w:hanging="1418"/>
    </w:pPr>
  </w:style>
  <w:style w:type="paragraph" w:styleId="77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2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7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1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paragraph" w:styleId="87">
    <w:name w:val="Body Text First Indent"/>
    <w:basedOn w:val="41"/>
    <w:link w:val="134"/>
    <w:qFormat/>
    <w:uiPriority w:val="0"/>
    <w:pPr>
      <w:widowControl/>
      <w:ind w:firstLine="360"/>
    </w:pPr>
    <w:rPr>
      <w:i w:val="0"/>
    </w:rPr>
  </w:style>
  <w:style w:type="paragraph" w:styleId="88">
    <w:name w:val="Body Text First Indent 2"/>
    <w:basedOn w:val="42"/>
    <w:link w:val="136"/>
    <w:qFormat/>
    <w:uiPriority w:val="0"/>
    <w:pPr>
      <w:spacing w:after="180"/>
      <w:ind w:left="360" w:firstLine="360"/>
    </w:pPr>
  </w:style>
  <w:style w:type="paragraph" w:customStyle="1" w:styleId="9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93">
    <w:name w:val="TAH"/>
    <w:basedOn w:val="94"/>
    <w:qFormat/>
    <w:uiPriority w:val="0"/>
    <w:rPr>
      <w:b/>
    </w:rPr>
  </w:style>
  <w:style w:type="paragraph" w:customStyle="1" w:styleId="94">
    <w:name w:val="TAC"/>
    <w:basedOn w:val="91"/>
    <w:qFormat/>
    <w:uiPriority w:val="0"/>
    <w:pPr>
      <w:jc w:val="center"/>
    </w:pPr>
  </w:style>
  <w:style w:type="paragraph" w:customStyle="1" w:styleId="95">
    <w:name w:val="HE"/>
    <w:basedOn w:val="1"/>
    <w:qFormat/>
    <w:uiPriority w:val="0"/>
    <w:rPr>
      <w:rFonts w:ascii="Arial" w:hAnsi="Arial"/>
      <w:b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qFormat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110">
    <w:name w:val="TAR"/>
    <w:basedOn w:val="91"/>
    <w:qFormat/>
    <w:uiPriority w:val="0"/>
    <w:pPr>
      <w:jc w:val="right"/>
    </w:pPr>
  </w:style>
  <w:style w:type="paragraph" w:customStyle="1" w:styleId="111">
    <w:name w:val="TAN"/>
    <w:basedOn w:val="91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B1"/>
    <w:basedOn w:val="69"/>
    <w:qFormat/>
    <w:uiPriority w:val="0"/>
    <w:pPr>
      <w:ind w:left="568" w:hanging="284"/>
    </w:pPr>
  </w:style>
  <w:style w:type="paragraph" w:customStyle="1" w:styleId="120">
    <w:name w:val="B2"/>
    <w:basedOn w:val="1"/>
    <w:qFormat/>
    <w:uiPriority w:val="0"/>
    <w:pPr>
      <w:ind w:left="851" w:hanging="284"/>
    </w:pPr>
  </w:style>
  <w:style w:type="paragraph" w:customStyle="1" w:styleId="121">
    <w:name w:val="B3"/>
    <w:basedOn w:val="1"/>
    <w:qFormat/>
    <w:uiPriority w:val="0"/>
    <w:pPr>
      <w:ind w:left="1135" w:hanging="284"/>
    </w:pPr>
  </w:style>
  <w:style w:type="paragraph" w:customStyle="1" w:styleId="122">
    <w:name w:val="B4"/>
    <w:basedOn w:val="1"/>
    <w:qFormat/>
    <w:uiPriority w:val="0"/>
    <w:pPr>
      <w:ind w:left="1418" w:hanging="284"/>
    </w:pPr>
  </w:style>
  <w:style w:type="paragraph" w:customStyle="1" w:styleId="123">
    <w:name w:val="B5"/>
    <w:basedOn w:val="1"/>
    <w:qFormat/>
    <w:uiPriority w:val="0"/>
    <w:pPr>
      <w:ind w:left="1702" w:hanging="284"/>
    </w:pPr>
  </w:style>
  <w:style w:type="paragraph" w:customStyle="1" w:styleId="124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5">
    <w:name w:val="TH Char"/>
    <w:link w:val="100"/>
    <w:qFormat/>
    <w:uiPriority w:val="0"/>
    <w:rPr>
      <w:rFonts w:ascii="Arial" w:hAnsi="Arial"/>
      <w:b/>
      <w:color w:val="000000"/>
      <w:lang w:eastAsia="ja-JP"/>
    </w:rPr>
  </w:style>
  <w:style w:type="paragraph" w:customStyle="1" w:styleId="126">
    <w:name w:val="Guidance"/>
    <w:basedOn w:val="1"/>
    <w:qFormat/>
    <w:uiPriority w:val="0"/>
    <w:rPr>
      <w:i/>
    </w:rPr>
  </w:style>
  <w:style w:type="character" w:customStyle="1" w:styleId="127">
    <w:name w:val="Body Text Char"/>
    <w:basedOn w:val="90"/>
    <w:link w:val="41"/>
    <w:qFormat/>
    <w:uiPriority w:val="0"/>
    <w:rPr>
      <w:i/>
      <w:color w:val="000000"/>
      <w:lang w:eastAsia="ja-JP"/>
    </w:rPr>
  </w:style>
  <w:style w:type="character" w:customStyle="1" w:styleId="128">
    <w:name w:val="Comment Text Char"/>
    <w:basedOn w:val="90"/>
    <w:link w:val="35"/>
    <w:qFormat/>
    <w:uiPriority w:val="0"/>
    <w:rPr>
      <w:rFonts w:ascii="Arial" w:hAnsi="Arial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30">
    <w:name w:val="Balloon Text Char"/>
    <w:basedOn w:val="90"/>
    <w:link w:val="59"/>
    <w:qFormat/>
    <w:uiPriority w:val="0"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2 Char"/>
    <w:basedOn w:val="90"/>
    <w:link w:val="77"/>
    <w:qFormat/>
    <w:uiPriority w:val="0"/>
    <w:rPr>
      <w:color w:val="000000"/>
      <w:lang w:eastAsia="ja-JP"/>
    </w:rPr>
  </w:style>
  <w:style w:type="character" w:customStyle="1" w:styleId="133">
    <w:name w:val="Body Text 3 Char"/>
    <w:basedOn w:val="90"/>
    <w:link w:val="38"/>
    <w:qFormat/>
    <w:uiPriority w:val="0"/>
    <w:rPr>
      <w:color w:val="000000"/>
      <w:sz w:val="16"/>
      <w:szCs w:val="16"/>
      <w:lang w:eastAsia="ja-JP"/>
    </w:rPr>
  </w:style>
  <w:style w:type="character" w:customStyle="1" w:styleId="134">
    <w:name w:val="Body Text First Indent Char"/>
    <w:basedOn w:val="127"/>
    <w:link w:val="87"/>
    <w:qFormat/>
    <w:uiPriority w:val="0"/>
    <w:rPr>
      <w:i w:val="0"/>
      <w:color w:val="000000"/>
      <w:lang w:eastAsia="ja-JP"/>
    </w:rPr>
  </w:style>
  <w:style w:type="character" w:customStyle="1" w:styleId="135">
    <w:name w:val="Body Text Indent Char"/>
    <w:basedOn w:val="90"/>
    <w:link w:val="42"/>
    <w:qFormat/>
    <w:uiPriority w:val="0"/>
    <w:rPr>
      <w:color w:val="000000"/>
      <w:lang w:eastAsia="ja-JP"/>
    </w:rPr>
  </w:style>
  <w:style w:type="character" w:customStyle="1" w:styleId="136">
    <w:name w:val="Body Text First Indent 2 Char"/>
    <w:basedOn w:val="135"/>
    <w:link w:val="88"/>
    <w:qFormat/>
    <w:uiPriority w:val="0"/>
    <w:rPr>
      <w:color w:val="000000"/>
      <w:lang w:eastAsia="ja-JP"/>
    </w:rPr>
  </w:style>
  <w:style w:type="character" w:customStyle="1" w:styleId="137">
    <w:name w:val="Body Text Indent 2 Char"/>
    <w:basedOn w:val="90"/>
    <w:link w:val="56"/>
    <w:qFormat/>
    <w:uiPriority w:val="0"/>
    <w:rPr>
      <w:color w:val="000000"/>
      <w:lang w:eastAsia="ja-JP"/>
    </w:rPr>
  </w:style>
  <w:style w:type="character" w:customStyle="1" w:styleId="138">
    <w:name w:val="Body Text Indent 3 Char"/>
    <w:basedOn w:val="90"/>
    <w:link w:val="72"/>
    <w:qFormat/>
    <w:uiPriority w:val="0"/>
    <w:rPr>
      <w:color w:val="000000"/>
      <w:sz w:val="16"/>
      <w:szCs w:val="16"/>
      <w:lang w:eastAsia="ja-JP"/>
    </w:rPr>
  </w:style>
  <w:style w:type="character" w:customStyle="1" w:styleId="139">
    <w:name w:val="Closing Char"/>
    <w:basedOn w:val="90"/>
    <w:link w:val="39"/>
    <w:qFormat/>
    <w:uiPriority w:val="0"/>
    <w:rPr>
      <w:color w:val="000000"/>
      <w:lang w:eastAsia="ja-JP"/>
    </w:rPr>
  </w:style>
  <w:style w:type="character" w:customStyle="1" w:styleId="140">
    <w:name w:val="Comment Subject Char"/>
    <w:basedOn w:val="128"/>
    <w:link w:val="86"/>
    <w:qFormat/>
    <w:uiPriority w:val="0"/>
    <w:rPr>
      <w:rFonts w:ascii="Arial" w:hAnsi="Arial"/>
      <w:b/>
      <w:bCs/>
      <w:color w:val="000000"/>
      <w:lang w:eastAsia="ja-JP"/>
    </w:rPr>
  </w:style>
  <w:style w:type="character" w:customStyle="1" w:styleId="141">
    <w:name w:val="Date Char"/>
    <w:basedOn w:val="90"/>
    <w:link w:val="55"/>
    <w:qFormat/>
    <w:uiPriority w:val="0"/>
    <w:rPr>
      <w:color w:val="000000"/>
      <w:lang w:eastAsia="ja-JP"/>
    </w:rPr>
  </w:style>
  <w:style w:type="character" w:customStyle="1" w:styleId="142">
    <w:name w:val="Document Map Char"/>
    <w:basedOn w:val="90"/>
    <w:link w:val="33"/>
    <w:qFormat/>
    <w:uiPriority w:val="0"/>
    <w:rPr>
      <w:rFonts w:ascii="Segoe UI" w:hAnsi="Segoe UI" w:cs="Segoe UI"/>
      <w:color w:val="000000"/>
      <w:sz w:val="16"/>
      <w:szCs w:val="16"/>
      <w:lang w:eastAsia="ja-JP"/>
    </w:rPr>
  </w:style>
  <w:style w:type="character" w:customStyle="1" w:styleId="143">
    <w:name w:val="E-mail Signature Char"/>
    <w:basedOn w:val="90"/>
    <w:link w:val="26"/>
    <w:qFormat/>
    <w:uiPriority w:val="0"/>
    <w:rPr>
      <w:color w:val="000000"/>
      <w:lang w:eastAsia="ja-JP"/>
    </w:rPr>
  </w:style>
  <w:style w:type="character" w:customStyle="1" w:styleId="144">
    <w:name w:val="Endnote Text Char"/>
    <w:basedOn w:val="90"/>
    <w:link w:val="57"/>
    <w:qFormat/>
    <w:uiPriority w:val="0"/>
    <w:rPr>
      <w:color w:val="000000"/>
      <w:lang w:eastAsia="ja-JP"/>
    </w:rPr>
  </w:style>
  <w:style w:type="character" w:customStyle="1" w:styleId="145">
    <w:name w:val="Footnote Text Char"/>
    <w:basedOn w:val="90"/>
    <w:link w:val="70"/>
    <w:qFormat/>
    <w:uiPriority w:val="0"/>
    <w:rPr>
      <w:color w:val="000000"/>
      <w:lang w:eastAsia="ja-JP"/>
    </w:rPr>
  </w:style>
  <w:style w:type="character" w:customStyle="1" w:styleId="146">
    <w:name w:val="HTML Address Char"/>
    <w:basedOn w:val="90"/>
    <w:link w:val="48"/>
    <w:qFormat/>
    <w:uiPriority w:val="0"/>
    <w:rPr>
      <w:i/>
      <w:iCs/>
      <w:color w:val="000000"/>
      <w:lang w:eastAsia="ja-JP"/>
    </w:rPr>
  </w:style>
  <w:style w:type="character" w:customStyle="1" w:styleId="147">
    <w:name w:val="HTML Preformatted Char"/>
    <w:basedOn w:val="90"/>
    <w:link w:val="81"/>
    <w:qFormat/>
    <w:uiPriority w:val="0"/>
    <w:rPr>
      <w:rFonts w:ascii="Consolas" w:hAnsi="Consolas"/>
      <w:color w:val="000000"/>
      <w:lang w:eastAsia="ja-JP"/>
    </w:rPr>
  </w:style>
  <w:style w:type="paragraph" w:styleId="148">
    <w:name w:val="Intense Quote"/>
    <w:basedOn w:val="1"/>
    <w:next w:val="1"/>
    <w:link w:val="149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49">
    <w:name w:val="Intense Quote Char"/>
    <w:basedOn w:val="90"/>
    <w:link w:val="148"/>
    <w:qFormat/>
    <w:uiPriority w:val="30"/>
    <w:rPr>
      <w:i/>
      <w:iCs/>
      <w:color w:val="4472C4" w:themeColor="accent1"/>
      <w:lang w:eastAsia="ja-JP"/>
      <w14:textFill>
        <w14:solidFill>
          <w14:schemeClr w14:val="accent1"/>
        </w14:solidFill>
      </w14:textFill>
    </w:rPr>
  </w:style>
  <w:style w:type="paragraph" w:styleId="150">
    <w:name w:val="List Paragraph"/>
    <w:basedOn w:val="1"/>
    <w:qFormat/>
    <w:uiPriority w:val="34"/>
    <w:pPr>
      <w:ind w:left="720"/>
      <w:contextualSpacing/>
    </w:pPr>
  </w:style>
  <w:style w:type="character" w:customStyle="1" w:styleId="151">
    <w:name w:val="Macro Text Char"/>
    <w:basedOn w:val="90"/>
    <w:link w:val="2"/>
    <w:qFormat/>
    <w:uiPriority w:val="0"/>
    <w:rPr>
      <w:rFonts w:ascii="Consolas" w:hAnsi="Consolas"/>
      <w:color w:val="000000"/>
      <w:lang w:eastAsia="ja-JP"/>
    </w:rPr>
  </w:style>
  <w:style w:type="character" w:customStyle="1" w:styleId="152">
    <w:name w:val="Message Header Char"/>
    <w:basedOn w:val="90"/>
    <w:link w:val="80"/>
    <w:qFormat/>
    <w:uiPriority w:val="0"/>
    <w:rPr>
      <w:rFonts w:asciiTheme="majorHAnsi" w:hAnsiTheme="majorHAnsi" w:eastAsiaTheme="majorEastAsia" w:cstheme="majorBidi"/>
      <w:color w:val="000000"/>
      <w:sz w:val="24"/>
      <w:szCs w:val="24"/>
      <w:shd w:val="pct20" w:color="auto" w:fill="auto"/>
      <w:lang w:eastAsia="ja-JP"/>
    </w:rPr>
  </w:style>
  <w:style w:type="paragraph" w:styleId="153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character" w:customStyle="1" w:styleId="154">
    <w:name w:val="Note Heading Char"/>
    <w:basedOn w:val="90"/>
    <w:link w:val="23"/>
    <w:qFormat/>
    <w:uiPriority w:val="0"/>
    <w:rPr>
      <w:color w:val="000000"/>
      <w:lang w:eastAsia="ja-JP"/>
    </w:rPr>
  </w:style>
  <w:style w:type="character" w:customStyle="1" w:styleId="155">
    <w:name w:val="Plain Text Char"/>
    <w:basedOn w:val="90"/>
    <w:link w:val="50"/>
    <w:qFormat/>
    <w:uiPriority w:val="0"/>
    <w:rPr>
      <w:rFonts w:ascii="Consolas" w:hAnsi="Consolas"/>
      <w:color w:val="000000"/>
      <w:sz w:val="21"/>
      <w:szCs w:val="21"/>
      <w:lang w:eastAsia="ja-JP"/>
    </w:rPr>
  </w:style>
  <w:style w:type="paragraph" w:styleId="156">
    <w:name w:val="Quote"/>
    <w:basedOn w:val="1"/>
    <w:next w:val="1"/>
    <w:link w:val="157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7">
    <w:name w:val="Quote Char"/>
    <w:basedOn w:val="90"/>
    <w:link w:val="156"/>
    <w:qFormat/>
    <w:uiPriority w:val="29"/>
    <w:rPr>
      <w:i/>
      <w:iCs/>
      <w:color w:val="404040" w:themeColor="text1" w:themeTint="BF"/>
      <w:lang w:eastAsia="ja-JP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8">
    <w:name w:val="Salutation Char"/>
    <w:basedOn w:val="90"/>
    <w:link w:val="37"/>
    <w:qFormat/>
    <w:uiPriority w:val="0"/>
    <w:rPr>
      <w:color w:val="000000"/>
      <w:lang w:eastAsia="ja-JP"/>
    </w:rPr>
  </w:style>
  <w:style w:type="character" w:customStyle="1" w:styleId="159">
    <w:name w:val="Signature Char"/>
    <w:basedOn w:val="90"/>
    <w:link w:val="63"/>
    <w:qFormat/>
    <w:uiPriority w:val="0"/>
    <w:rPr>
      <w:color w:val="000000"/>
      <w:lang w:eastAsia="ja-JP"/>
    </w:rPr>
  </w:style>
  <w:style w:type="character" w:customStyle="1" w:styleId="160">
    <w:name w:val="Subtitle Char"/>
    <w:basedOn w:val="90"/>
    <w:link w:val="6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ja-JP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1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ja-JP"/>
    </w:rPr>
  </w:style>
  <w:style w:type="paragraph" w:customStyle="1" w:styleId="162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63">
    <w:name w:val="Header Char"/>
    <w:basedOn w:val="90"/>
    <w:link w:val="61"/>
    <w:qFormat/>
    <w:uiPriority w:val="0"/>
    <w:rPr>
      <w:rFonts w:ascii="Arial" w:hAnsi="Arial"/>
      <w:b/>
      <w:sz w:val="18"/>
      <w:lang w:eastAsia="ja-JP"/>
    </w:rPr>
  </w:style>
  <w:style w:type="paragraph" w:customStyle="1" w:styleId="164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1064</Words>
  <Characters>6090</Characters>
  <Lines>50</Lines>
  <Paragraphs>14</Paragraphs>
  <TotalTime>1</TotalTime>
  <ScaleCrop>false</ScaleCrop>
  <LinksUpToDate>false</LinksUpToDate>
  <CharactersWithSpaces>7140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2021-06-24T09:05:00Z</dcterms:created>
  <dc:creator>MCC/Alain Sultan</dc:creator>
  <cp:keywords>WID template</cp:keywords>
  <cp:lastModifiedBy>CMCC</cp:lastModifiedBy>
  <cp:lastPrinted>2000-02-29T11:31:00Z</cp:lastPrinted>
  <dcterms:modified xsi:type="dcterms:W3CDTF">2023-02-17T04:22:22Z</dcterms:modified>
  <dc:title>WID Template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2052-11.8.2.10912</vt:lpwstr>
  </property>
  <property fmtid="{D5CDD505-2E9C-101B-9397-08002B2CF9AE}" pid="17" name="ICV">
    <vt:lpwstr>83AD8F77803742EF97E92A8C68A6099F</vt:lpwstr>
  </property>
</Properties>
</file>